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9CFBA" w14:textId="238B0149" w:rsidR="000E1E4C" w:rsidRPr="00627953" w:rsidRDefault="000E1E4C" w:rsidP="000E1E4C">
      <w:pPr>
        <w:ind w:right="-7"/>
        <w:rPr>
          <w:rFonts w:ascii="Microsoft New Tai Lue" w:hAnsi="Microsoft New Tai Lue" w:cs="Microsoft New Tai Lue"/>
          <w:sz w:val="20"/>
          <w:szCs w:val="20"/>
        </w:rPr>
      </w:pPr>
      <w:bookmarkStart w:id="0" w:name="_GoBack"/>
      <w:bookmarkEnd w:id="0"/>
    </w:p>
    <w:p w14:paraId="7A72C452" w14:textId="77777777" w:rsidR="000E1E4C" w:rsidRPr="00627953" w:rsidRDefault="000E1E4C" w:rsidP="000E1E4C">
      <w:pPr>
        <w:ind w:right="-7"/>
        <w:rPr>
          <w:rFonts w:ascii="Microsoft New Tai Lue" w:hAnsi="Microsoft New Tai Lue" w:cs="Microsoft New Tai Lue"/>
          <w:sz w:val="20"/>
          <w:szCs w:val="20"/>
        </w:rPr>
      </w:pPr>
    </w:p>
    <w:p w14:paraId="2BE43F4F" w14:textId="77777777" w:rsidR="00645065" w:rsidRDefault="00645065" w:rsidP="000E1E4C">
      <w:pPr>
        <w:ind w:right="-7"/>
        <w:rPr>
          <w:rFonts w:ascii="Microsoft New Tai Lue" w:hAnsi="Microsoft New Tai Lue" w:cs="Microsoft New Tai Lue"/>
          <w:sz w:val="20"/>
          <w:szCs w:val="20"/>
        </w:rPr>
      </w:pPr>
    </w:p>
    <w:p w14:paraId="36201F08" w14:textId="39F12763" w:rsidR="0046762E" w:rsidRDefault="0046762E" w:rsidP="0046762E">
      <w:pPr>
        <w:rPr>
          <w:rFonts w:ascii="Arial" w:eastAsia="Times New Roman" w:hAnsi="Arial" w:cs="Arial"/>
          <w:b/>
          <w:color w:val="333333"/>
          <w:sz w:val="28"/>
          <w:szCs w:val="28"/>
          <w:lang w:eastAsia="en-AU"/>
        </w:rPr>
      </w:pPr>
      <w:r w:rsidRPr="00AF4B43">
        <w:rPr>
          <w:rFonts w:ascii="Arial" w:eastAsia="Times New Roman" w:hAnsi="Arial" w:cs="Arial"/>
          <w:b/>
          <w:noProof/>
          <w:color w:val="333333"/>
          <w:sz w:val="28"/>
          <w:szCs w:val="28"/>
          <w:lang w:val="en-GB" w:eastAsia="en-GB"/>
        </w:rPr>
        <w:drawing>
          <wp:inline distT="0" distB="0" distL="0" distR="0" wp14:anchorId="09535837" wp14:editId="3EF488BD">
            <wp:extent cx="2180818" cy="649605"/>
            <wp:effectExtent l="0" t="0" r="3810" b="10795"/>
            <wp:docPr id="28" name="Picture 2" descr="1508376157847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1508376157847_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807" cy="676112"/>
                    </a:xfrm>
                    <a:prstGeom prst="rect">
                      <a:avLst/>
                    </a:prstGeom>
                    <a:noFill/>
                    <a:ln>
                      <a:noFill/>
                    </a:ln>
                    <a:extLst/>
                  </pic:spPr>
                </pic:pic>
              </a:graphicData>
            </a:graphic>
          </wp:inline>
        </w:drawing>
      </w:r>
      <w:r>
        <w:rPr>
          <w:rFonts w:ascii="Arial" w:eastAsia="Times New Roman" w:hAnsi="Arial" w:cs="Arial"/>
          <w:b/>
          <w:color w:val="333333"/>
          <w:sz w:val="28"/>
          <w:szCs w:val="28"/>
          <w:lang w:eastAsia="en-AU"/>
        </w:rPr>
        <w:t xml:space="preserve">   </w:t>
      </w:r>
      <w:r w:rsidRPr="00AF4B43">
        <w:rPr>
          <w:rFonts w:ascii="Arial" w:eastAsia="Times New Roman" w:hAnsi="Arial" w:cs="Arial"/>
          <w:b/>
          <w:noProof/>
          <w:color w:val="333333"/>
          <w:sz w:val="28"/>
          <w:szCs w:val="28"/>
          <w:lang w:val="en-GB" w:eastAsia="en-GB"/>
        </w:rPr>
        <w:drawing>
          <wp:inline distT="0" distB="0" distL="0" distR="0" wp14:anchorId="11B3EA7D" wp14:editId="643F1CD8">
            <wp:extent cx="1372235" cy="702310"/>
            <wp:effectExtent l="0" t="0" r="0" b="0"/>
            <wp:docPr id="27" name="Picture 26"/>
            <wp:cNvGraphicFramePr/>
            <a:graphic xmlns:a="http://schemas.openxmlformats.org/drawingml/2006/main">
              <a:graphicData uri="http://schemas.openxmlformats.org/drawingml/2006/picture">
                <pic:pic xmlns:pic="http://schemas.openxmlformats.org/drawingml/2006/picture">
                  <pic:nvPicPr>
                    <pic:cNvPr id="27" name="Picture 26"/>
                    <pic:cNvPicPr/>
                  </pic:nvPicPr>
                  <pic:blipFill>
                    <a:blip r:embed="rId13"/>
                    <a:stretch>
                      <a:fillRect/>
                    </a:stretch>
                  </pic:blipFill>
                  <pic:spPr>
                    <a:xfrm>
                      <a:off x="0" y="0"/>
                      <a:ext cx="1373271" cy="702840"/>
                    </a:xfrm>
                    <a:prstGeom prst="rect">
                      <a:avLst/>
                    </a:prstGeom>
                  </pic:spPr>
                </pic:pic>
              </a:graphicData>
            </a:graphic>
          </wp:inline>
        </w:drawing>
      </w:r>
      <w:r>
        <w:rPr>
          <w:rFonts w:ascii="Arial" w:eastAsia="Times New Roman" w:hAnsi="Arial" w:cs="Arial"/>
          <w:b/>
          <w:color w:val="333333"/>
          <w:sz w:val="28"/>
          <w:szCs w:val="28"/>
          <w:lang w:eastAsia="en-AU"/>
        </w:rPr>
        <w:t xml:space="preserve">   </w:t>
      </w:r>
      <w:r w:rsidRPr="00AF4B43">
        <w:rPr>
          <w:rFonts w:ascii="Arial" w:eastAsia="Times New Roman" w:hAnsi="Arial" w:cs="Arial"/>
          <w:b/>
          <w:noProof/>
          <w:color w:val="333333"/>
          <w:sz w:val="28"/>
          <w:szCs w:val="28"/>
          <w:lang w:val="en-GB" w:eastAsia="en-GB"/>
        </w:rPr>
        <w:drawing>
          <wp:inline distT="0" distB="0" distL="0" distR="0" wp14:anchorId="6ECD5353" wp14:editId="404431BB">
            <wp:extent cx="1346835" cy="741045"/>
            <wp:effectExtent l="0" t="0" r="0" b="0"/>
            <wp:docPr id="22" name="Picture 21" descr="Macintosh HD:Users:lex:Desktop:GBGA logo sm.png"/>
            <wp:cNvGraphicFramePr/>
            <a:graphic xmlns:a="http://schemas.openxmlformats.org/drawingml/2006/main">
              <a:graphicData uri="http://schemas.openxmlformats.org/drawingml/2006/picture">
                <pic:pic xmlns:pic="http://schemas.openxmlformats.org/drawingml/2006/picture">
                  <pic:nvPicPr>
                    <pic:cNvPr id="22" name="Picture 21" descr="Macintosh HD:Users:lex:Desktop:GBGA logo sm.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467" cy="779357"/>
                    </a:xfrm>
                    <a:prstGeom prst="rect">
                      <a:avLst/>
                    </a:prstGeom>
                    <a:noFill/>
                    <a:ln>
                      <a:noFill/>
                    </a:ln>
                  </pic:spPr>
                </pic:pic>
              </a:graphicData>
            </a:graphic>
          </wp:inline>
        </w:drawing>
      </w:r>
      <w:r>
        <w:rPr>
          <w:rFonts w:ascii="Arial" w:eastAsia="Times New Roman" w:hAnsi="Arial" w:cs="Arial"/>
          <w:b/>
          <w:color w:val="333333"/>
          <w:sz w:val="28"/>
          <w:szCs w:val="28"/>
          <w:lang w:eastAsia="en-AU"/>
        </w:rPr>
        <w:t xml:space="preserve">   </w:t>
      </w:r>
      <w:r w:rsidRPr="00AF4B43">
        <w:rPr>
          <w:rFonts w:ascii="Arial" w:eastAsia="Times New Roman" w:hAnsi="Arial" w:cs="Arial"/>
          <w:b/>
          <w:noProof/>
          <w:color w:val="333333"/>
          <w:sz w:val="28"/>
          <w:szCs w:val="28"/>
          <w:lang w:val="en-GB" w:eastAsia="en-GB"/>
        </w:rPr>
        <w:drawing>
          <wp:inline distT="0" distB="0" distL="0" distR="0" wp14:anchorId="3C24D36D" wp14:editId="5DC86469">
            <wp:extent cx="1765935" cy="680085"/>
            <wp:effectExtent l="0" t="0" r="12065" b="5715"/>
            <wp:docPr id="26" name="Picture 25" descr="N:\Regional Alliances\NAGA\naga logo.png"/>
            <wp:cNvGraphicFramePr/>
            <a:graphic xmlns:a="http://schemas.openxmlformats.org/drawingml/2006/main">
              <a:graphicData uri="http://schemas.openxmlformats.org/drawingml/2006/picture">
                <pic:pic xmlns:pic="http://schemas.openxmlformats.org/drawingml/2006/picture">
                  <pic:nvPicPr>
                    <pic:cNvPr id="26" name="Picture 25" descr="N:\Regional Alliances\NAGA\naga logo.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7823" cy="680812"/>
                    </a:xfrm>
                    <a:prstGeom prst="rect">
                      <a:avLst/>
                    </a:prstGeom>
                    <a:noFill/>
                    <a:ln>
                      <a:noFill/>
                    </a:ln>
                  </pic:spPr>
                </pic:pic>
              </a:graphicData>
            </a:graphic>
          </wp:inline>
        </w:drawing>
      </w:r>
      <w:r>
        <w:rPr>
          <w:rFonts w:ascii="Arial" w:eastAsia="Times New Roman" w:hAnsi="Arial" w:cs="Arial"/>
          <w:b/>
          <w:color w:val="333333"/>
          <w:sz w:val="28"/>
          <w:szCs w:val="28"/>
          <w:lang w:eastAsia="en-AU"/>
        </w:rPr>
        <w:t xml:space="preserve">   </w:t>
      </w:r>
      <w:r w:rsidRPr="00AF4B43">
        <w:rPr>
          <w:rFonts w:ascii="Arial" w:eastAsia="Times New Roman" w:hAnsi="Arial" w:cs="Arial"/>
          <w:b/>
          <w:noProof/>
          <w:color w:val="333333"/>
          <w:sz w:val="28"/>
          <w:szCs w:val="28"/>
          <w:lang w:val="en-GB" w:eastAsia="en-GB"/>
        </w:rPr>
        <w:drawing>
          <wp:inline distT="0" distB="0" distL="0" distR="0" wp14:anchorId="2067EC98" wp14:editId="5999D0FD">
            <wp:extent cx="1423035" cy="676275"/>
            <wp:effectExtent l="0" t="0" r="0" b="9525"/>
            <wp:docPr id="24" name="Picture 23" descr="N:\Regional Alliances\SECCCA\logo small.png"/>
            <wp:cNvGraphicFramePr/>
            <a:graphic xmlns:a="http://schemas.openxmlformats.org/drawingml/2006/main">
              <a:graphicData uri="http://schemas.openxmlformats.org/drawingml/2006/picture">
                <pic:pic xmlns:pic="http://schemas.openxmlformats.org/drawingml/2006/picture">
                  <pic:nvPicPr>
                    <pic:cNvPr id="24" name="Picture 23" descr="N:\Regional Alliances\SECCCA\logo small.png"/>
                    <pic:cNvPicPr/>
                  </pic:nvPicPr>
                  <pic:blipFill>
                    <a:blip r:embed="rId16"/>
                    <a:srcRect/>
                    <a:stretch>
                      <a:fillRect/>
                    </a:stretch>
                  </pic:blipFill>
                  <pic:spPr bwMode="auto">
                    <a:xfrm>
                      <a:off x="0" y="0"/>
                      <a:ext cx="1424154" cy="676807"/>
                    </a:xfrm>
                    <a:prstGeom prst="rect">
                      <a:avLst/>
                    </a:prstGeom>
                    <a:noFill/>
                    <a:ln w="9525">
                      <a:noFill/>
                      <a:miter lim="800000"/>
                      <a:headEnd/>
                      <a:tailEnd/>
                    </a:ln>
                  </pic:spPr>
                </pic:pic>
              </a:graphicData>
            </a:graphic>
          </wp:inline>
        </w:drawing>
      </w:r>
      <w:r>
        <w:rPr>
          <w:rFonts w:ascii="Arial" w:eastAsia="Times New Roman" w:hAnsi="Arial" w:cs="Arial"/>
          <w:b/>
          <w:color w:val="333333"/>
          <w:sz w:val="28"/>
          <w:szCs w:val="28"/>
          <w:lang w:eastAsia="en-AU"/>
        </w:rPr>
        <w:t xml:space="preserve">   </w:t>
      </w:r>
      <w:r w:rsidRPr="00AF4B43">
        <w:rPr>
          <w:rFonts w:ascii="Arial" w:eastAsia="Times New Roman" w:hAnsi="Arial" w:cs="Arial"/>
          <w:b/>
          <w:noProof/>
          <w:color w:val="333333"/>
          <w:sz w:val="28"/>
          <w:szCs w:val="28"/>
          <w:lang w:val="en-GB" w:eastAsia="en-GB"/>
        </w:rPr>
        <w:drawing>
          <wp:inline distT="0" distB="0" distL="0" distR="0" wp14:anchorId="7B374E1B" wp14:editId="5F086B6F">
            <wp:extent cx="1359535" cy="659765"/>
            <wp:effectExtent l="0" t="0" r="12065" b="635"/>
            <wp:docPr id="23" name="Picture 22" descr="N:\Regional Alliances\WAGA\LOGO.png"/>
            <wp:cNvGraphicFramePr/>
            <a:graphic xmlns:a="http://schemas.openxmlformats.org/drawingml/2006/main">
              <a:graphicData uri="http://schemas.openxmlformats.org/drawingml/2006/picture">
                <pic:pic xmlns:pic="http://schemas.openxmlformats.org/drawingml/2006/picture">
                  <pic:nvPicPr>
                    <pic:cNvPr id="23" name="Picture 22" descr="N:\Regional Alliances\WAGA\LOGO.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0672" cy="660317"/>
                    </a:xfrm>
                    <a:prstGeom prst="rect">
                      <a:avLst/>
                    </a:prstGeom>
                    <a:noFill/>
                    <a:ln>
                      <a:noFill/>
                    </a:ln>
                  </pic:spPr>
                </pic:pic>
              </a:graphicData>
            </a:graphic>
          </wp:inline>
        </w:drawing>
      </w:r>
      <w:r w:rsidR="00FF5D5C">
        <w:rPr>
          <w:rFonts w:ascii="Arial" w:eastAsia="Times New Roman" w:hAnsi="Arial" w:cs="Arial"/>
          <w:b/>
          <w:noProof/>
          <w:color w:val="333333"/>
          <w:sz w:val="28"/>
          <w:szCs w:val="28"/>
          <w:lang w:val="en-GB" w:eastAsia="en-GB"/>
        </w:rPr>
        <w:drawing>
          <wp:inline distT="0" distB="0" distL="0" distR="0" wp14:anchorId="426666AF" wp14:editId="6AE3BD10">
            <wp:extent cx="1693666" cy="4362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gccn_logo small.jpg"/>
                    <pic:cNvPicPr/>
                  </pic:nvPicPr>
                  <pic:blipFill>
                    <a:blip r:embed="rId18">
                      <a:extLst>
                        <a:ext uri="{28A0092B-C50C-407E-A947-70E740481C1C}">
                          <a14:useLocalDpi xmlns:a14="http://schemas.microsoft.com/office/drawing/2010/main" val="0"/>
                        </a:ext>
                      </a:extLst>
                    </a:blip>
                    <a:stretch>
                      <a:fillRect/>
                    </a:stretch>
                  </pic:blipFill>
                  <pic:spPr>
                    <a:xfrm>
                      <a:off x="0" y="0"/>
                      <a:ext cx="1910430" cy="492078"/>
                    </a:xfrm>
                    <a:prstGeom prst="rect">
                      <a:avLst/>
                    </a:prstGeom>
                  </pic:spPr>
                </pic:pic>
              </a:graphicData>
            </a:graphic>
          </wp:inline>
        </w:drawing>
      </w:r>
    </w:p>
    <w:p w14:paraId="63AE0512" w14:textId="3E05D375" w:rsidR="00C20CA8" w:rsidRDefault="00C20CA8" w:rsidP="000E1E4C">
      <w:pPr>
        <w:ind w:right="-7"/>
        <w:rPr>
          <w:rFonts w:ascii="Microsoft New Tai Lue" w:hAnsi="Microsoft New Tai Lue" w:cs="Microsoft New Tai Lue"/>
          <w:sz w:val="20"/>
          <w:szCs w:val="20"/>
        </w:rPr>
      </w:pPr>
    </w:p>
    <w:p w14:paraId="008DFE7C" w14:textId="62687964" w:rsidR="0046762E" w:rsidRDefault="0046762E" w:rsidP="000E1E4C">
      <w:pPr>
        <w:ind w:right="-7"/>
        <w:rPr>
          <w:rFonts w:ascii="Microsoft New Tai Lue" w:hAnsi="Microsoft New Tai Lue" w:cs="Microsoft New Tai Lue"/>
          <w:sz w:val="20"/>
          <w:szCs w:val="20"/>
        </w:rPr>
      </w:pPr>
    </w:p>
    <w:p w14:paraId="5D05E0D2" w14:textId="77777777" w:rsidR="0046762E" w:rsidRPr="008A510A" w:rsidRDefault="0046762E" w:rsidP="000E1E4C">
      <w:pPr>
        <w:ind w:right="-7"/>
        <w:rPr>
          <w:rFonts w:ascii="Microsoft New Tai Lue" w:hAnsi="Microsoft New Tai Lue" w:cs="Microsoft New Tai Lue"/>
          <w:sz w:val="20"/>
          <w:szCs w:val="20"/>
        </w:rPr>
      </w:pPr>
    </w:p>
    <w:p w14:paraId="260572F6" w14:textId="0CDEDDAF" w:rsidR="000E1E4C" w:rsidRPr="00627953" w:rsidRDefault="000E1E4C" w:rsidP="00670F03">
      <w:pPr>
        <w:spacing w:line="276" w:lineRule="auto"/>
        <w:ind w:right="-7"/>
        <w:rPr>
          <w:rFonts w:ascii="Arial" w:hAnsi="Arial" w:cs="Arial"/>
          <w:sz w:val="20"/>
          <w:szCs w:val="20"/>
        </w:rPr>
      </w:pPr>
      <w:r w:rsidRPr="00627953">
        <w:rPr>
          <w:rFonts w:ascii="Arial" w:hAnsi="Arial" w:cs="Arial"/>
          <w:sz w:val="20"/>
          <w:szCs w:val="20"/>
        </w:rPr>
        <w:fldChar w:fldCharType="begin"/>
      </w:r>
      <w:r w:rsidRPr="00627953">
        <w:rPr>
          <w:rFonts w:ascii="Arial" w:hAnsi="Arial" w:cs="Arial"/>
          <w:sz w:val="20"/>
          <w:szCs w:val="20"/>
        </w:rPr>
        <w:instrText xml:space="preserve"> DATE  \@ "d MMMM yyyy"  \* MERGEFORMAT </w:instrText>
      </w:r>
      <w:r w:rsidRPr="00627953">
        <w:rPr>
          <w:rFonts w:ascii="Arial" w:hAnsi="Arial" w:cs="Arial"/>
          <w:sz w:val="20"/>
          <w:szCs w:val="20"/>
        </w:rPr>
        <w:fldChar w:fldCharType="separate"/>
      </w:r>
      <w:r w:rsidR="003A3E68">
        <w:rPr>
          <w:rFonts w:ascii="Arial" w:hAnsi="Arial" w:cs="Arial"/>
          <w:noProof/>
          <w:sz w:val="20"/>
          <w:szCs w:val="20"/>
        </w:rPr>
        <w:t>13 July 2020</w:t>
      </w:r>
      <w:r w:rsidRPr="00627953">
        <w:rPr>
          <w:rFonts w:ascii="Arial" w:hAnsi="Arial" w:cs="Arial"/>
          <w:sz w:val="20"/>
          <w:szCs w:val="20"/>
        </w:rPr>
        <w:fldChar w:fldCharType="end"/>
      </w:r>
    </w:p>
    <w:p w14:paraId="3A17FEAA" w14:textId="77777777" w:rsidR="000E1E4C" w:rsidRPr="00627953" w:rsidRDefault="000E1E4C" w:rsidP="00670F03">
      <w:pPr>
        <w:spacing w:line="276" w:lineRule="auto"/>
        <w:ind w:right="-7"/>
        <w:rPr>
          <w:rFonts w:ascii="Arial" w:hAnsi="Arial" w:cs="Arial"/>
          <w:sz w:val="20"/>
          <w:szCs w:val="20"/>
        </w:rPr>
      </w:pPr>
    </w:p>
    <w:p w14:paraId="63ECEC64" w14:textId="77777777" w:rsidR="008A510A" w:rsidRDefault="008A510A" w:rsidP="00670F03">
      <w:pPr>
        <w:spacing w:line="276" w:lineRule="auto"/>
        <w:ind w:right="-7"/>
        <w:rPr>
          <w:rFonts w:ascii="Arial" w:hAnsi="Arial" w:cs="Arial"/>
          <w:sz w:val="20"/>
          <w:szCs w:val="20"/>
        </w:rPr>
      </w:pPr>
    </w:p>
    <w:p w14:paraId="4940AFE1" w14:textId="77777777" w:rsidR="00645065" w:rsidRDefault="00645065" w:rsidP="00670F03">
      <w:pPr>
        <w:spacing w:line="276" w:lineRule="auto"/>
        <w:ind w:right="-7"/>
        <w:rPr>
          <w:rFonts w:ascii="Arial" w:hAnsi="Arial" w:cs="Arial"/>
          <w:sz w:val="20"/>
          <w:szCs w:val="20"/>
        </w:rPr>
      </w:pPr>
      <w:r w:rsidRPr="00645065">
        <w:rPr>
          <w:rFonts w:ascii="Arial" w:hAnsi="Arial" w:cs="Arial"/>
          <w:sz w:val="20"/>
          <w:szCs w:val="20"/>
        </w:rPr>
        <w:t>Hon Angus Taylor MP</w:t>
      </w:r>
    </w:p>
    <w:p w14:paraId="1AA0DDB5" w14:textId="70363687" w:rsidR="00645065" w:rsidRDefault="00645065" w:rsidP="00670F03">
      <w:pPr>
        <w:spacing w:line="276" w:lineRule="auto"/>
        <w:ind w:right="-7"/>
        <w:rPr>
          <w:rFonts w:ascii="Arial" w:hAnsi="Arial" w:cs="Arial"/>
          <w:sz w:val="20"/>
          <w:szCs w:val="20"/>
        </w:rPr>
      </w:pPr>
      <w:r w:rsidRPr="00645065">
        <w:rPr>
          <w:rFonts w:ascii="Arial" w:hAnsi="Arial" w:cs="Arial"/>
          <w:sz w:val="20"/>
          <w:szCs w:val="20"/>
        </w:rPr>
        <w:t>Minister for Energy and Emissions Reductio</w:t>
      </w:r>
      <w:r>
        <w:rPr>
          <w:rFonts w:ascii="Arial" w:hAnsi="Arial" w:cs="Arial"/>
          <w:sz w:val="20"/>
          <w:szCs w:val="20"/>
        </w:rPr>
        <w:t>n</w:t>
      </w:r>
    </w:p>
    <w:p w14:paraId="5799CEA4" w14:textId="77777777" w:rsidR="00645065" w:rsidRPr="00645065" w:rsidRDefault="00645065" w:rsidP="00645065">
      <w:pPr>
        <w:ind w:right="-7"/>
        <w:rPr>
          <w:rFonts w:ascii="Arial" w:hAnsi="Arial" w:cs="Arial"/>
          <w:sz w:val="20"/>
          <w:szCs w:val="20"/>
        </w:rPr>
      </w:pPr>
      <w:r w:rsidRPr="00645065">
        <w:rPr>
          <w:rFonts w:ascii="Arial" w:hAnsi="Arial" w:cs="Arial"/>
          <w:sz w:val="20"/>
          <w:szCs w:val="20"/>
        </w:rPr>
        <w:t>18 Hill Street</w:t>
      </w:r>
    </w:p>
    <w:p w14:paraId="04F80314" w14:textId="10DFD21B" w:rsidR="00855836" w:rsidRPr="00627953" w:rsidRDefault="00645065" w:rsidP="00645065">
      <w:pPr>
        <w:ind w:right="-7"/>
        <w:rPr>
          <w:rFonts w:ascii="Arial" w:hAnsi="Arial" w:cs="Arial"/>
          <w:sz w:val="20"/>
          <w:szCs w:val="20"/>
        </w:rPr>
      </w:pPr>
      <w:r w:rsidRPr="00645065">
        <w:rPr>
          <w:rFonts w:ascii="Arial" w:hAnsi="Arial" w:cs="Arial"/>
          <w:sz w:val="20"/>
          <w:szCs w:val="20"/>
        </w:rPr>
        <w:t>Camden 2570</w:t>
      </w:r>
      <w:r>
        <w:rPr>
          <w:rFonts w:ascii="Arial" w:hAnsi="Arial" w:cs="Arial"/>
          <w:sz w:val="20"/>
          <w:szCs w:val="20"/>
        </w:rPr>
        <w:t xml:space="preserve"> NSW</w:t>
      </w:r>
    </w:p>
    <w:p w14:paraId="399AB91C" w14:textId="77777777" w:rsidR="002D649B" w:rsidRDefault="002D649B" w:rsidP="00855836">
      <w:pPr>
        <w:ind w:right="-7"/>
        <w:rPr>
          <w:rFonts w:ascii="Arial" w:hAnsi="Arial" w:cs="Arial"/>
          <w:sz w:val="20"/>
          <w:szCs w:val="20"/>
        </w:rPr>
      </w:pPr>
    </w:p>
    <w:p w14:paraId="7FBC2C67" w14:textId="10127A05" w:rsidR="00627953" w:rsidRPr="00627953" w:rsidRDefault="005A59C9" w:rsidP="00855836">
      <w:pPr>
        <w:ind w:right="-7"/>
        <w:rPr>
          <w:rFonts w:ascii="Arial" w:hAnsi="Arial" w:cs="Arial"/>
          <w:sz w:val="20"/>
          <w:szCs w:val="20"/>
        </w:rPr>
      </w:pPr>
      <w:r>
        <w:rPr>
          <w:rFonts w:ascii="Arial" w:hAnsi="Arial" w:cs="Arial"/>
          <w:sz w:val="20"/>
          <w:szCs w:val="20"/>
        </w:rPr>
        <w:t xml:space="preserve">Dear </w:t>
      </w:r>
      <w:r w:rsidR="00645065">
        <w:rPr>
          <w:rFonts w:ascii="Arial" w:hAnsi="Arial" w:cs="Arial"/>
          <w:sz w:val="20"/>
          <w:szCs w:val="20"/>
        </w:rPr>
        <w:t>Minister Taylor</w:t>
      </w:r>
      <w:r w:rsidR="00627953" w:rsidRPr="00627953">
        <w:rPr>
          <w:rFonts w:ascii="Arial" w:hAnsi="Arial" w:cs="Arial"/>
          <w:sz w:val="20"/>
          <w:szCs w:val="20"/>
        </w:rPr>
        <w:t>,</w:t>
      </w:r>
    </w:p>
    <w:p w14:paraId="71006553" w14:textId="5C922A4E" w:rsidR="00627953" w:rsidRPr="00837126" w:rsidRDefault="00627953" w:rsidP="00627953">
      <w:pPr>
        <w:pStyle w:val="Heading4"/>
        <w:shd w:val="clear" w:color="auto" w:fill="FFFFFF"/>
        <w:jc w:val="center"/>
        <w:rPr>
          <w:rFonts w:asciiTheme="minorHAnsi" w:hAnsiTheme="minorHAnsi" w:cs="Arial"/>
          <w:sz w:val="22"/>
          <w:szCs w:val="22"/>
        </w:rPr>
      </w:pPr>
      <w:r w:rsidRPr="00837126">
        <w:rPr>
          <w:rFonts w:asciiTheme="minorHAnsi" w:hAnsiTheme="minorHAnsi" w:cs="Arial"/>
          <w:sz w:val="22"/>
          <w:szCs w:val="22"/>
        </w:rPr>
        <w:t xml:space="preserve">Re: </w:t>
      </w:r>
      <w:r w:rsidR="00645065" w:rsidRPr="00837126">
        <w:rPr>
          <w:rFonts w:asciiTheme="minorHAnsi" w:hAnsiTheme="minorHAnsi" w:cs="Arial"/>
          <w:sz w:val="22"/>
          <w:szCs w:val="22"/>
        </w:rPr>
        <w:t>Technology Investment Roadmap Discussion Paper May 2020</w:t>
      </w:r>
    </w:p>
    <w:p w14:paraId="096BFBEA" w14:textId="41CEC4B5" w:rsidR="00645065" w:rsidRPr="00837126" w:rsidRDefault="0046762E" w:rsidP="00627953">
      <w:pPr>
        <w:pStyle w:val="Heading4"/>
        <w:shd w:val="clear" w:color="auto" w:fill="FFFFFF"/>
        <w:spacing w:line="276" w:lineRule="auto"/>
        <w:rPr>
          <w:rFonts w:asciiTheme="minorHAnsi" w:hAnsiTheme="minorHAnsi" w:cs="Arial"/>
          <w:b w:val="0"/>
          <w:sz w:val="22"/>
          <w:szCs w:val="22"/>
        </w:rPr>
      </w:pPr>
      <w:r w:rsidRPr="00837126">
        <w:rPr>
          <w:rFonts w:asciiTheme="minorHAnsi" w:hAnsiTheme="minorHAnsi" w:cs="Arial"/>
          <w:b w:val="0"/>
          <w:sz w:val="22"/>
          <w:szCs w:val="22"/>
        </w:rPr>
        <w:t>On behalf of their member councils</w:t>
      </w:r>
      <w:r w:rsidR="00837126">
        <w:rPr>
          <w:rFonts w:asciiTheme="minorHAnsi" w:hAnsiTheme="minorHAnsi" w:cs="Arial"/>
          <w:b w:val="0"/>
          <w:sz w:val="22"/>
          <w:szCs w:val="22"/>
        </w:rPr>
        <w:t>, the Victorian Greenhouse Allia</w:t>
      </w:r>
      <w:r w:rsidRPr="00837126">
        <w:rPr>
          <w:rFonts w:asciiTheme="minorHAnsi" w:hAnsiTheme="minorHAnsi" w:cs="Arial"/>
          <w:b w:val="0"/>
          <w:sz w:val="22"/>
          <w:szCs w:val="22"/>
        </w:rPr>
        <w:t>nces</w:t>
      </w:r>
      <w:r w:rsidR="00627953" w:rsidRPr="00837126">
        <w:rPr>
          <w:rFonts w:asciiTheme="minorHAnsi" w:hAnsiTheme="minorHAnsi" w:cs="Arial"/>
          <w:b w:val="0"/>
          <w:sz w:val="22"/>
          <w:szCs w:val="22"/>
        </w:rPr>
        <w:t xml:space="preserve"> would like to raise </w:t>
      </w:r>
      <w:proofErr w:type="gramStart"/>
      <w:r w:rsidR="00627953" w:rsidRPr="00837126">
        <w:rPr>
          <w:rFonts w:asciiTheme="minorHAnsi" w:hAnsiTheme="minorHAnsi" w:cs="Arial"/>
          <w:b w:val="0"/>
          <w:sz w:val="22"/>
          <w:szCs w:val="22"/>
        </w:rPr>
        <w:t>a</w:t>
      </w:r>
      <w:r w:rsidR="00645065" w:rsidRPr="00837126">
        <w:rPr>
          <w:rFonts w:asciiTheme="minorHAnsi" w:hAnsiTheme="minorHAnsi" w:cs="Arial"/>
          <w:b w:val="0"/>
          <w:sz w:val="22"/>
          <w:szCs w:val="22"/>
        </w:rPr>
        <w:t xml:space="preserve"> number of</w:t>
      </w:r>
      <w:proofErr w:type="gramEnd"/>
      <w:r w:rsidR="00645065" w:rsidRPr="00837126">
        <w:rPr>
          <w:rFonts w:asciiTheme="minorHAnsi" w:hAnsiTheme="minorHAnsi" w:cs="Arial"/>
          <w:b w:val="0"/>
          <w:sz w:val="22"/>
          <w:szCs w:val="22"/>
        </w:rPr>
        <w:t xml:space="preserve"> </w:t>
      </w:r>
      <w:r w:rsidR="00627953" w:rsidRPr="00837126">
        <w:rPr>
          <w:rFonts w:asciiTheme="minorHAnsi" w:hAnsiTheme="minorHAnsi" w:cs="Arial"/>
          <w:b w:val="0"/>
          <w:sz w:val="22"/>
          <w:szCs w:val="22"/>
        </w:rPr>
        <w:t>important issue</w:t>
      </w:r>
      <w:r w:rsidR="00645065" w:rsidRPr="00837126">
        <w:rPr>
          <w:rFonts w:asciiTheme="minorHAnsi" w:hAnsiTheme="minorHAnsi" w:cs="Arial"/>
          <w:b w:val="0"/>
          <w:sz w:val="22"/>
          <w:szCs w:val="22"/>
        </w:rPr>
        <w:t>s</w:t>
      </w:r>
      <w:r w:rsidR="00627953" w:rsidRPr="00837126">
        <w:rPr>
          <w:rFonts w:asciiTheme="minorHAnsi" w:hAnsiTheme="minorHAnsi" w:cs="Arial"/>
          <w:b w:val="0"/>
          <w:sz w:val="22"/>
          <w:szCs w:val="22"/>
        </w:rPr>
        <w:t xml:space="preserve"> relating to </w:t>
      </w:r>
      <w:r w:rsidR="00837126">
        <w:rPr>
          <w:rFonts w:asciiTheme="minorHAnsi" w:hAnsiTheme="minorHAnsi" w:cs="Arial"/>
          <w:b w:val="0"/>
          <w:sz w:val="22"/>
          <w:szCs w:val="22"/>
        </w:rPr>
        <w:t xml:space="preserve">the </w:t>
      </w:r>
      <w:r w:rsidR="00645065" w:rsidRPr="00837126">
        <w:rPr>
          <w:rFonts w:asciiTheme="minorHAnsi" w:hAnsiTheme="minorHAnsi" w:cs="Arial"/>
          <w:b w:val="0"/>
          <w:i/>
          <w:sz w:val="22"/>
          <w:szCs w:val="22"/>
        </w:rPr>
        <w:t>Technology Investment Roadmap Discussion Paper</w:t>
      </w:r>
      <w:r w:rsidR="00645065" w:rsidRPr="00837126">
        <w:rPr>
          <w:rFonts w:asciiTheme="minorHAnsi" w:hAnsiTheme="minorHAnsi" w:cs="Arial"/>
          <w:b w:val="0"/>
          <w:sz w:val="22"/>
          <w:szCs w:val="22"/>
        </w:rPr>
        <w:t xml:space="preserve"> (the </w:t>
      </w:r>
      <w:r w:rsidR="00837126">
        <w:rPr>
          <w:rFonts w:asciiTheme="minorHAnsi" w:hAnsiTheme="minorHAnsi" w:cs="Arial"/>
          <w:b w:val="0"/>
          <w:sz w:val="22"/>
          <w:szCs w:val="22"/>
        </w:rPr>
        <w:t xml:space="preserve">Roadmap). </w:t>
      </w:r>
      <w:r w:rsidR="00645065" w:rsidRPr="00837126">
        <w:rPr>
          <w:rFonts w:asciiTheme="minorHAnsi" w:hAnsiTheme="minorHAnsi" w:cs="Arial"/>
          <w:b w:val="0"/>
          <w:sz w:val="22"/>
          <w:szCs w:val="22"/>
        </w:rPr>
        <w:t xml:space="preserve">   </w:t>
      </w:r>
    </w:p>
    <w:p w14:paraId="47251EEE" w14:textId="0107494A" w:rsidR="0046762E" w:rsidRPr="00837126" w:rsidRDefault="0046762E" w:rsidP="00627953">
      <w:pPr>
        <w:pStyle w:val="Heading4"/>
        <w:shd w:val="clear" w:color="auto" w:fill="FFFFFF"/>
        <w:spacing w:line="276" w:lineRule="auto"/>
        <w:rPr>
          <w:rFonts w:asciiTheme="minorHAnsi" w:hAnsiTheme="minorHAnsi" w:cs="Arial"/>
          <w:b w:val="0"/>
          <w:sz w:val="22"/>
          <w:szCs w:val="22"/>
        </w:rPr>
      </w:pPr>
      <w:r w:rsidRPr="00837126">
        <w:rPr>
          <w:rFonts w:asciiTheme="minorHAnsi" w:hAnsiTheme="minorHAnsi" w:cs="Arial"/>
          <w:b w:val="0"/>
          <w:sz w:val="22"/>
          <w:szCs w:val="22"/>
        </w:rPr>
        <w:t xml:space="preserve">The Greenhouse Alliances are formal partnerships of local governments driving climate change action across 70 of Victoria's 79 municipalities. </w:t>
      </w:r>
      <w:r w:rsidR="00837126">
        <w:rPr>
          <w:rFonts w:asciiTheme="minorHAnsi" w:hAnsiTheme="minorHAnsi" w:cs="Arial"/>
          <w:b w:val="0"/>
          <w:sz w:val="22"/>
          <w:szCs w:val="22"/>
        </w:rPr>
        <w:t>For the past two decades, t</w:t>
      </w:r>
      <w:r w:rsidRPr="00837126">
        <w:rPr>
          <w:rFonts w:asciiTheme="minorHAnsi" w:hAnsiTheme="minorHAnsi" w:cs="Arial"/>
          <w:b w:val="0"/>
          <w:sz w:val="22"/>
          <w:szCs w:val="22"/>
        </w:rPr>
        <w:t>he Alliances</w:t>
      </w:r>
      <w:r w:rsidR="00837126">
        <w:rPr>
          <w:rFonts w:asciiTheme="minorHAnsi" w:hAnsiTheme="minorHAnsi" w:cs="Arial"/>
          <w:b w:val="0"/>
          <w:sz w:val="22"/>
          <w:szCs w:val="22"/>
        </w:rPr>
        <w:t xml:space="preserve"> have</w:t>
      </w:r>
      <w:r w:rsidRPr="00837126">
        <w:rPr>
          <w:rFonts w:asciiTheme="minorHAnsi" w:hAnsiTheme="minorHAnsi" w:cs="Arial"/>
          <w:b w:val="0"/>
          <w:sz w:val="22"/>
          <w:szCs w:val="22"/>
        </w:rPr>
        <w:t xml:space="preserve"> work</w:t>
      </w:r>
      <w:r w:rsidR="00837126">
        <w:rPr>
          <w:rFonts w:asciiTheme="minorHAnsi" w:hAnsiTheme="minorHAnsi" w:cs="Arial"/>
          <w:b w:val="0"/>
          <w:sz w:val="22"/>
          <w:szCs w:val="22"/>
        </w:rPr>
        <w:t>ed</w:t>
      </w:r>
      <w:r w:rsidRPr="00837126">
        <w:rPr>
          <w:rFonts w:asciiTheme="minorHAnsi" w:hAnsiTheme="minorHAnsi" w:cs="Arial"/>
          <w:b w:val="0"/>
          <w:sz w:val="22"/>
          <w:szCs w:val="22"/>
        </w:rPr>
        <w:t xml:space="preserve"> across their networks, communities and partners to deliver regional </w:t>
      </w:r>
      <w:r w:rsidR="00837126">
        <w:rPr>
          <w:rFonts w:asciiTheme="minorHAnsi" w:hAnsiTheme="minorHAnsi" w:cs="Arial"/>
          <w:b w:val="0"/>
          <w:sz w:val="22"/>
          <w:szCs w:val="22"/>
        </w:rPr>
        <w:t xml:space="preserve">climate </w:t>
      </w:r>
      <w:r w:rsidRPr="00837126">
        <w:rPr>
          <w:rFonts w:asciiTheme="minorHAnsi" w:hAnsiTheme="minorHAnsi" w:cs="Arial"/>
          <w:b w:val="0"/>
          <w:sz w:val="22"/>
          <w:szCs w:val="22"/>
        </w:rPr>
        <w:t>mitigation and adaptation programs. This includes the implementation of joint initiatives that provide economies of scale and enable projects typically beyond the reach of individual councils. Our project work is complemented by targeted advocacy, capacity building activities and regional partnerships.</w:t>
      </w:r>
    </w:p>
    <w:p w14:paraId="17A3DFC9" w14:textId="18D75E4A" w:rsidR="006F234C" w:rsidRPr="00837126" w:rsidRDefault="00A9071C" w:rsidP="00645065">
      <w:pPr>
        <w:pStyle w:val="Heading4"/>
        <w:shd w:val="clear" w:color="auto" w:fill="FFFFFF"/>
        <w:spacing w:after="120" w:afterAutospacing="0" w:line="276" w:lineRule="auto"/>
        <w:rPr>
          <w:rFonts w:asciiTheme="minorHAnsi" w:hAnsiTheme="minorHAnsi" w:cs="Arial"/>
          <w:b w:val="0"/>
          <w:sz w:val="22"/>
          <w:szCs w:val="22"/>
        </w:rPr>
      </w:pPr>
      <w:r w:rsidRPr="00837126">
        <w:rPr>
          <w:rFonts w:asciiTheme="minorHAnsi" w:hAnsiTheme="minorHAnsi" w:cs="Arial"/>
          <w:b w:val="0"/>
          <w:sz w:val="22"/>
          <w:szCs w:val="22"/>
        </w:rPr>
        <w:t xml:space="preserve">This submission is informed by our </w:t>
      </w:r>
      <w:r w:rsidR="00837126">
        <w:rPr>
          <w:rFonts w:asciiTheme="minorHAnsi" w:hAnsiTheme="minorHAnsi" w:cs="Arial"/>
          <w:b w:val="0"/>
          <w:sz w:val="22"/>
          <w:szCs w:val="22"/>
        </w:rPr>
        <w:t>extensive experience delivering energy and climate programs with</w:t>
      </w:r>
      <w:r w:rsidRPr="00837126">
        <w:rPr>
          <w:rFonts w:asciiTheme="minorHAnsi" w:hAnsiTheme="minorHAnsi" w:cs="Arial"/>
          <w:b w:val="0"/>
          <w:sz w:val="22"/>
          <w:szCs w:val="22"/>
        </w:rPr>
        <w:t xml:space="preserve"> local governments, communities and industry. </w:t>
      </w:r>
      <w:r w:rsidR="00ED1357">
        <w:rPr>
          <w:rFonts w:asciiTheme="minorHAnsi" w:hAnsiTheme="minorHAnsi" w:cs="Arial"/>
          <w:b w:val="0"/>
          <w:sz w:val="22"/>
          <w:szCs w:val="22"/>
        </w:rPr>
        <w:t xml:space="preserve">It also takes into account consultation with Professor Finkel through the community and environment sector roundtable on 11 June, in which a </w:t>
      </w:r>
      <w:r w:rsidRPr="00837126">
        <w:rPr>
          <w:rFonts w:asciiTheme="minorHAnsi" w:hAnsiTheme="minorHAnsi" w:cs="Arial"/>
          <w:b w:val="0"/>
          <w:sz w:val="22"/>
          <w:szCs w:val="22"/>
        </w:rPr>
        <w:t xml:space="preserve">representative of the </w:t>
      </w:r>
      <w:r w:rsidR="00ED1357">
        <w:rPr>
          <w:rFonts w:asciiTheme="minorHAnsi" w:hAnsiTheme="minorHAnsi" w:cs="Arial"/>
          <w:b w:val="0"/>
          <w:sz w:val="22"/>
          <w:szCs w:val="22"/>
        </w:rPr>
        <w:t>G</w:t>
      </w:r>
      <w:r w:rsidRPr="00837126">
        <w:rPr>
          <w:rFonts w:asciiTheme="minorHAnsi" w:hAnsiTheme="minorHAnsi" w:cs="Arial"/>
          <w:b w:val="0"/>
          <w:sz w:val="22"/>
          <w:szCs w:val="22"/>
        </w:rPr>
        <w:t xml:space="preserve">reenhouse </w:t>
      </w:r>
      <w:proofErr w:type="gramStart"/>
      <w:r w:rsidR="00ED1357">
        <w:rPr>
          <w:rFonts w:asciiTheme="minorHAnsi" w:hAnsiTheme="minorHAnsi" w:cs="Arial"/>
          <w:b w:val="0"/>
          <w:sz w:val="22"/>
          <w:szCs w:val="22"/>
        </w:rPr>
        <w:t>A</w:t>
      </w:r>
      <w:r w:rsidRPr="00837126">
        <w:rPr>
          <w:rFonts w:asciiTheme="minorHAnsi" w:hAnsiTheme="minorHAnsi" w:cs="Arial"/>
          <w:b w:val="0"/>
          <w:sz w:val="22"/>
          <w:szCs w:val="22"/>
        </w:rPr>
        <w:t xml:space="preserve">lliances  </w:t>
      </w:r>
      <w:r w:rsidR="006F234C" w:rsidRPr="00837126">
        <w:rPr>
          <w:rFonts w:asciiTheme="minorHAnsi" w:hAnsiTheme="minorHAnsi" w:cs="Arial"/>
          <w:b w:val="0"/>
          <w:sz w:val="22"/>
          <w:szCs w:val="22"/>
        </w:rPr>
        <w:t>participated</w:t>
      </w:r>
      <w:proofErr w:type="gramEnd"/>
      <w:r w:rsidR="006F234C" w:rsidRPr="00837126">
        <w:rPr>
          <w:rFonts w:asciiTheme="minorHAnsi" w:hAnsiTheme="minorHAnsi" w:cs="Arial"/>
          <w:b w:val="0"/>
          <w:sz w:val="22"/>
          <w:szCs w:val="22"/>
        </w:rPr>
        <w:t xml:space="preserve">. </w:t>
      </w:r>
    </w:p>
    <w:p w14:paraId="7E5D8869" w14:textId="040A662B" w:rsidR="00837126" w:rsidRDefault="006F234C" w:rsidP="00645065">
      <w:pPr>
        <w:pStyle w:val="Heading4"/>
        <w:shd w:val="clear" w:color="auto" w:fill="FFFFFF"/>
        <w:spacing w:after="120" w:line="276" w:lineRule="auto"/>
        <w:rPr>
          <w:rFonts w:asciiTheme="minorHAnsi" w:hAnsiTheme="minorHAnsi" w:cs="Arial"/>
          <w:b w:val="0"/>
          <w:sz w:val="22"/>
          <w:szCs w:val="22"/>
        </w:rPr>
      </w:pPr>
      <w:r w:rsidRPr="00837126">
        <w:rPr>
          <w:rFonts w:asciiTheme="minorHAnsi" w:hAnsiTheme="minorHAnsi" w:cs="Arial"/>
          <w:b w:val="0"/>
          <w:sz w:val="22"/>
          <w:szCs w:val="22"/>
        </w:rPr>
        <w:t xml:space="preserve">Overall, we are concerned that the </w:t>
      </w:r>
      <w:r w:rsidR="008853C3" w:rsidRPr="00837126">
        <w:rPr>
          <w:rFonts w:asciiTheme="minorHAnsi" w:hAnsiTheme="minorHAnsi" w:cs="Arial"/>
          <w:b w:val="0"/>
          <w:sz w:val="22"/>
          <w:szCs w:val="22"/>
        </w:rPr>
        <w:t>Roadmap</w:t>
      </w:r>
      <w:r w:rsidRPr="00837126">
        <w:rPr>
          <w:rFonts w:asciiTheme="minorHAnsi" w:hAnsiTheme="minorHAnsi" w:cs="Arial"/>
          <w:b w:val="0"/>
          <w:sz w:val="22"/>
          <w:szCs w:val="22"/>
        </w:rPr>
        <w:t xml:space="preserve"> does not advance Australia towards addressing climate change with the urgency and magnitude that is required. </w:t>
      </w:r>
      <w:r w:rsidR="008853C3" w:rsidRPr="00837126">
        <w:rPr>
          <w:rFonts w:asciiTheme="minorHAnsi" w:hAnsiTheme="minorHAnsi" w:cs="Arial"/>
          <w:b w:val="0"/>
          <w:sz w:val="22"/>
          <w:szCs w:val="22"/>
        </w:rPr>
        <w:t xml:space="preserve">Although our submission is confined to the scope of the Roadmap we highlight the </w:t>
      </w:r>
      <w:r w:rsidR="00837126">
        <w:rPr>
          <w:rFonts w:asciiTheme="minorHAnsi" w:hAnsiTheme="minorHAnsi" w:cs="Arial"/>
          <w:b w:val="0"/>
          <w:sz w:val="22"/>
          <w:szCs w:val="22"/>
        </w:rPr>
        <w:t>urgent need for</w:t>
      </w:r>
      <w:r w:rsidR="008853C3" w:rsidRPr="00837126">
        <w:rPr>
          <w:rFonts w:asciiTheme="minorHAnsi" w:hAnsiTheme="minorHAnsi" w:cs="Arial"/>
          <w:b w:val="0"/>
          <w:sz w:val="22"/>
          <w:szCs w:val="22"/>
        </w:rPr>
        <w:t xml:space="preserve"> a national climate and energy policy framework. Australia has wasted a decade </w:t>
      </w:r>
      <w:r w:rsidR="00ED1357">
        <w:rPr>
          <w:rFonts w:asciiTheme="minorHAnsi" w:hAnsiTheme="minorHAnsi" w:cs="Arial"/>
          <w:b w:val="0"/>
          <w:sz w:val="22"/>
          <w:szCs w:val="22"/>
        </w:rPr>
        <w:t xml:space="preserve">in which there has been no </w:t>
      </w:r>
      <w:r w:rsidR="008853C3" w:rsidRPr="00837126">
        <w:rPr>
          <w:rFonts w:asciiTheme="minorHAnsi" w:hAnsiTheme="minorHAnsi" w:cs="Arial"/>
          <w:b w:val="0"/>
          <w:sz w:val="22"/>
          <w:szCs w:val="22"/>
        </w:rPr>
        <w:t xml:space="preserve">comprehensive and coordinated </w:t>
      </w:r>
      <w:r w:rsidR="00ED1357">
        <w:rPr>
          <w:rFonts w:asciiTheme="minorHAnsi" w:hAnsiTheme="minorHAnsi" w:cs="Arial"/>
          <w:b w:val="0"/>
          <w:sz w:val="22"/>
          <w:szCs w:val="22"/>
        </w:rPr>
        <w:t xml:space="preserve">national </w:t>
      </w:r>
      <w:r w:rsidR="008853C3" w:rsidRPr="00837126">
        <w:rPr>
          <w:rFonts w:asciiTheme="minorHAnsi" w:hAnsiTheme="minorHAnsi" w:cs="Arial"/>
          <w:b w:val="0"/>
          <w:sz w:val="22"/>
          <w:szCs w:val="22"/>
        </w:rPr>
        <w:t xml:space="preserve">climate action. COVID-19 has demonstrated that the National Cabinet </w:t>
      </w:r>
      <w:r w:rsidR="005C562E">
        <w:rPr>
          <w:rFonts w:asciiTheme="minorHAnsi" w:hAnsiTheme="minorHAnsi" w:cs="Arial"/>
          <w:b w:val="0"/>
          <w:sz w:val="22"/>
          <w:szCs w:val="22"/>
        </w:rPr>
        <w:t>c</w:t>
      </w:r>
      <w:r w:rsidR="008853C3" w:rsidRPr="00837126">
        <w:rPr>
          <w:rFonts w:asciiTheme="minorHAnsi" w:hAnsiTheme="minorHAnsi" w:cs="Arial"/>
          <w:b w:val="0"/>
          <w:sz w:val="22"/>
          <w:szCs w:val="22"/>
        </w:rPr>
        <w:t xml:space="preserve">an </w:t>
      </w:r>
      <w:r w:rsidR="008853C3" w:rsidRPr="00837126">
        <w:rPr>
          <w:rFonts w:asciiTheme="minorHAnsi" w:hAnsiTheme="minorHAnsi" w:cs="Arial"/>
          <w:b w:val="0"/>
          <w:sz w:val="22"/>
          <w:szCs w:val="22"/>
        </w:rPr>
        <w:lastRenderedPageBreak/>
        <w:t xml:space="preserve">successfully </w:t>
      </w:r>
      <w:r w:rsidR="008853C3" w:rsidRPr="00837126">
        <w:rPr>
          <w:rFonts w:asciiTheme="minorHAnsi" w:hAnsiTheme="minorHAnsi" w:cs="Arial"/>
          <w:b w:val="0"/>
          <w:sz w:val="22"/>
          <w:szCs w:val="22"/>
          <w:lang w:val="en-GB"/>
        </w:rPr>
        <w:t>act on scientific evidence and take decisive action. The same urgency, respect for science, and bipartisanship should now be employed to address the climate emergency.</w:t>
      </w:r>
      <w:r w:rsidR="00837126">
        <w:rPr>
          <w:rFonts w:asciiTheme="minorHAnsi" w:hAnsiTheme="minorHAnsi" w:cs="Arial"/>
          <w:sz w:val="22"/>
          <w:szCs w:val="22"/>
          <w:lang w:val="en-GB"/>
        </w:rPr>
        <w:t xml:space="preserve"> </w:t>
      </w:r>
      <w:r w:rsidR="008853C3" w:rsidRPr="00837126">
        <w:rPr>
          <w:rFonts w:asciiTheme="minorHAnsi" w:hAnsiTheme="minorHAnsi" w:cs="Arial"/>
          <w:b w:val="0"/>
          <w:sz w:val="22"/>
          <w:szCs w:val="22"/>
        </w:rPr>
        <w:t xml:space="preserve">We </w:t>
      </w:r>
      <w:r w:rsidR="000875AB">
        <w:rPr>
          <w:rFonts w:asciiTheme="minorHAnsi" w:hAnsiTheme="minorHAnsi" w:cs="Arial"/>
          <w:b w:val="0"/>
          <w:sz w:val="22"/>
          <w:szCs w:val="22"/>
        </w:rPr>
        <w:t>propose</w:t>
      </w:r>
      <w:r w:rsidR="000875AB" w:rsidRPr="00837126">
        <w:rPr>
          <w:rFonts w:asciiTheme="minorHAnsi" w:hAnsiTheme="minorHAnsi" w:cs="Arial"/>
          <w:b w:val="0"/>
          <w:sz w:val="22"/>
          <w:szCs w:val="22"/>
        </w:rPr>
        <w:t xml:space="preserve"> </w:t>
      </w:r>
      <w:r w:rsidR="008853C3" w:rsidRPr="00837126">
        <w:rPr>
          <w:rFonts w:asciiTheme="minorHAnsi" w:hAnsiTheme="minorHAnsi" w:cs="Arial"/>
          <w:b w:val="0"/>
          <w:sz w:val="22"/>
          <w:szCs w:val="22"/>
        </w:rPr>
        <w:t xml:space="preserve">that </w:t>
      </w:r>
      <w:r w:rsidR="00837126">
        <w:rPr>
          <w:rFonts w:asciiTheme="minorHAnsi" w:hAnsiTheme="minorHAnsi" w:cs="Arial"/>
          <w:b w:val="0"/>
          <w:sz w:val="22"/>
          <w:szCs w:val="22"/>
        </w:rPr>
        <w:t xml:space="preserve">a national climate and energy policy </w:t>
      </w:r>
      <w:r w:rsidR="008853C3" w:rsidRPr="00837126">
        <w:rPr>
          <w:rFonts w:asciiTheme="minorHAnsi" w:hAnsiTheme="minorHAnsi" w:cs="Arial"/>
          <w:b w:val="0"/>
          <w:sz w:val="22"/>
          <w:szCs w:val="22"/>
        </w:rPr>
        <w:t xml:space="preserve">be </w:t>
      </w:r>
      <w:r w:rsidR="000875AB">
        <w:rPr>
          <w:rFonts w:asciiTheme="minorHAnsi" w:hAnsiTheme="minorHAnsi" w:cs="Arial"/>
          <w:b w:val="0"/>
          <w:sz w:val="22"/>
          <w:szCs w:val="22"/>
        </w:rPr>
        <w:t>included</w:t>
      </w:r>
      <w:r w:rsidR="000875AB" w:rsidRPr="00837126">
        <w:rPr>
          <w:rFonts w:asciiTheme="minorHAnsi" w:hAnsiTheme="minorHAnsi" w:cs="Arial"/>
          <w:b w:val="0"/>
          <w:sz w:val="22"/>
          <w:szCs w:val="22"/>
        </w:rPr>
        <w:t xml:space="preserve"> </w:t>
      </w:r>
      <w:r w:rsidR="008853C3" w:rsidRPr="00837126">
        <w:rPr>
          <w:rFonts w:asciiTheme="minorHAnsi" w:hAnsiTheme="minorHAnsi" w:cs="Arial"/>
          <w:b w:val="0"/>
          <w:sz w:val="22"/>
          <w:szCs w:val="22"/>
        </w:rPr>
        <w:t xml:space="preserve">on the </w:t>
      </w:r>
      <w:r w:rsidR="00FB2F7D">
        <w:rPr>
          <w:rFonts w:asciiTheme="minorHAnsi" w:hAnsiTheme="minorHAnsi" w:cs="Arial"/>
          <w:b w:val="0"/>
          <w:sz w:val="22"/>
          <w:szCs w:val="22"/>
        </w:rPr>
        <w:t xml:space="preserve">National Cabinet </w:t>
      </w:r>
      <w:proofErr w:type="gramStart"/>
      <w:r w:rsidR="00FB2F7D">
        <w:rPr>
          <w:rFonts w:asciiTheme="minorHAnsi" w:hAnsiTheme="minorHAnsi" w:cs="Arial"/>
          <w:b w:val="0"/>
          <w:sz w:val="22"/>
          <w:szCs w:val="22"/>
        </w:rPr>
        <w:t>agenda.</w:t>
      </w:r>
      <w:r w:rsidR="00837126">
        <w:rPr>
          <w:rFonts w:asciiTheme="minorHAnsi" w:hAnsiTheme="minorHAnsi" w:cs="Arial"/>
          <w:b w:val="0"/>
          <w:sz w:val="22"/>
          <w:szCs w:val="22"/>
        </w:rPr>
        <w:t>.</w:t>
      </w:r>
      <w:proofErr w:type="gramEnd"/>
      <w:r w:rsidR="00837126">
        <w:rPr>
          <w:rFonts w:asciiTheme="minorHAnsi" w:hAnsiTheme="minorHAnsi" w:cs="Arial"/>
          <w:b w:val="0"/>
          <w:sz w:val="22"/>
          <w:szCs w:val="22"/>
        </w:rPr>
        <w:t xml:space="preserve"> </w:t>
      </w:r>
    </w:p>
    <w:p w14:paraId="6E281E03" w14:textId="7CC6E06A" w:rsidR="0031304C" w:rsidRPr="00837126" w:rsidRDefault="00A2262D" w:rsidP="00645065">
      <w:pPr>
        <w:pStyle w:val="Heading4"/>
        <w:shd w:val="clear" w:color="auto" w:fill="FFFFFF"/>
        <w:spacing w:after="120" w:line="276" w:lineRule="auto"/>
        <w:rPr>
          <w:rFonts w:asciiTheme="minorHAnsi" w:hAnsiTheme="minorHAnsi" w:cs="Arial"/>
          <w:sz w:val="22"/>
          <w:szCs w:val="22"/>
          <w:lang w:val="en-GB"/>
        </w:rPr>
      </w:pPr>
      <w:r w:rsidRPr="00837126">
        <w:rPr>
          <w:rFonts w:asciiTheme="minorHAnsi" w:hAnsiTheme="minorHAnsi" w:cs="Arial"/>
          <w:b w:val="0"/>
          <w:sz w:val="22"/>
          <w:szCs w:val="22"/>
        </w:rPr>
        <w:t>Please consider the following issues</w:t>
      </w:r>
      <w:r w:rsidR="00837126">
        <w:rPr>
          <w:rFonts w:asciiTheme="minorHAnsi" w:hAnsiTheme="minorHAnsi" w:cs="Arial"/>
          <w:b w:val="0"/>
          <w:sz w:val="22"/>
          <w:szCs w:val="22"/>
        </w:rPr>
        <w:t xml:space="preserve"> that relate to the Roadmap</w:t>
      </w:r>
      <w:r w:rsidRPr="00837126">
        <w:rPr>
          <w:rFonts w:asciiTheme="minorHAnsi" w:hAnsiTheme="minorHAnsi" w:cs="Arial"/>
          <w:b w:val="0"/>
          <w:sz w:val="22"/>
          <w:szCs w:val="22"/>
        </w:rPr>
        <w:t xml:space="preserve">: </w:t>
      </w:r>
    </w:p>
    <w:p w14:paraId="4FF9769C" w14:textId="7853F683" w:rsidR="00A2262D" w:rsidRPr="00837126" w:rsidRDefault="0075741C" w:rsidP="00A2262D">
      <w:pPr>
        <w:pStyle w:val="Heading4"/>
        <w:numPr>
          <w:ilvl w:val="0"/>
          <w:numId w:val="4"/>
        </w:numPr>
        <w:shd w:val="clear" w:color="auto" w:fill="FFFFFF"/>
        <w:spacing w:after="120" w:afterAutospacing="0" w:line="276" w:lineRule="auto"/>
        <w:rPr>
          <w:rFonts w:asciiTheme="minorHAnsi" w:hAnsiTheme="minorHAnsi" w:cs="Arial"/>
          <w:sz w:val="22"/>
          <w:szCs w:val="22"/>
        </w:rPr>
      </w:pPr>
      <w:r w:rsidRPr="00837126">
        <w:rPr>
          <w:rFonts w:asciiTheme="minorHAnsi" w:hAnsiTheme="minorHAnsi" w:cs="Arial"/>
          <w:sz w:val="22"/>
          <w:szCs w:val="22"/>
        </w:rPr>
        <w:t xml:space="preserve">The Roadmap should identify how it is linked to emissions reduction targets  </w:t>
      </w:r>
    </w:p>
    <w:p w14:paraId="1A903DF5" w14:textId="5A9F65E0" w:rsidR="0075741C" w:rsidRPr="00837126" w:rsidRDefault="0075741C" w:rsidP="0075741C">
      <w:pPr>
        <w:pStyle w:val="NormalWeb"/>
        <w:spacing w:before="0" w:beforeAutospacing="0" w:after="0" w:afterAutospacing="0"/>
        <w:textAlignment w:val="baseline"/>
        <w:rPr>
          <w:rFonts w:asciiTheme="minorHAnsi" w:hAnsiTheme="minorHAnsi" w:cs="Arial"/>
          <w:color w:val="000000"/>
          <w:sz w:val="22"/>
          <w:szCs w:val="22"/>
        </w:rPr>
      </w:pPr>
      <w:r w:rsidRPr="00837126">
        <w:rPr>
          <w:rFonts w:asciiTheme="minorHAnsi" w:hAnsiTheme="minorHAnsi" w:cs="Arial"/>
          <w:sz w:val="22"/>
          <w:szCs w:val="22"/>
        </w:rPr>
        <w:t xml:space="preserve">We are very concerned that the Roadmap has </w:t>
      </w:r>
      <w:r w:rsidR="0031304C" w:rsidRPr="00837126">
        <w:rPr>
          <w:rFonts w:asciiTheme="minorHAnsi" w:hAnsiTheme="minorHAnsi" w:cs="Arial"/>
          <w:sz w:val="22"/>
          <w:szCs w:val="22"/>
        </w:rPr>
        <w:t xml:space="preserve">no explicit link to </w:t>
      </w:r>
      <w:r w:rsidR="00ED1357">
        <w:rPr>
          <w:rFonts w:asciiTheme="minorHAnsi" w:hAnsiTheme="minorHAnsi" w:cs="Arial"/>
          <w:sz w:val="22"/>
          <w:szCs w:val="22"/>
        </w:rPr>
        <w:t xml:space="preserve">the Australian Government’s committed </w:t>
      </w:r>
      <w:r w:rsidR="0031304C" w:rsidRPr="00837126">
        <w:rPr>
          <w:rFonts w:asciiTheme="minorHAnsi" w:hAnsiTheme="minorHAnsi" w:cs="Arial"/>
          <w:sz w:val="22"/>
          <w:szCs w:val="22"/>
        </w:rPr>
        <w:t xml:space="preserve">emission reductions targets, </w:t>
      </w:r>
      <w:r w:rsidR="00ED1357">
        <w:rPr>
          <w:rFonts w:asciiTheme="minorHAnsi" w:hAnsiTheme="minorHAnsi" w:cs="Arial"/>
          <w:sz w:val="22"/>
          <w:szCs w:val="22"/>
        </w:rPr>
        <w:t xml:space="preserve">let alone any stronger science-based targets, </w:t>
      </w:r>
      <w:r w:rsidR="0031304C" w:rsidRPr="00837126">
        <w:rPr>
          <w:rFonts w:asciiTheme="minorHAnsi" w:hAnsiTheme="minorHAnsi" w:cs="Arial"/>
          <w:sz w:val="22"/>
          <w:szCs w:val="22"/>
        </w:rPr>
        <w:t>nor any mention o</w:t>
      </w:r>
      <w:r w:rsidR="00ED1357">
        <w:rPr>
          <w:rFonts w:asciiTheme="minorHAnsi" w:hAnsiTheme="minorHAnsi" w:cs="Arial"/>
          <w:sz w:val="22"/>
          <w:szCs w:val="22"/>
        </w:rPr>
        <w:t>f</w:t>
      </w:r>
      <w:r w:rsidR="0031304C" w:rsidRPr="00837126">
        <w:rPr>
          <w:rFonts w:asciiTheme="minorHAnsi" w:hAnsiTheme="minorHAnsi" w:cs="Arial"/>
          <w:sz w:val="22"/>
          <w:szCs w:val="22"/>
        </w:rPr>
        <w:t xml:space="preserve"> the best way to achieve the required target</w:t>
      </w:r>
      <w:r w:rsidR="00ED1357">
        <w:rPr>
          <w:rFonts w:asciiTheme="minorHAnsi" w:hAnsiTheme="minorHAnsi" w:cs="Arial"/>
          <w:sz w:val="22"/>
          <w:szCs w:val="22"/>
        </w:rPr>
        <w:t>(s)</w:t>
      </w:r>
      <w:r w:rsidR="0031304C" w:rsidRPr="00837126">
        <w:rPr>
          <w:rFonts w:asciiTheme="minorHAnsi" w:hAnsiTheme="minorHAnsi" w:cs="Arial"/>
          <w:sz w:val="22"/>
          <w:szCs w:val="22"/>
        </w:rPr>
        <w:t xml:space="preserve">. </w:t>
      </w:r>
      <w:r w:rsidRPr="00837126">
        <w:rPr>
          <w:rFonts w:asciiTheme="minorHAnsi" w:hAnsiTheme="minorHAnsi" w:cs="Arial"/>
          <w:sz w:val="22"/>
          <w:szCs w:val="22"/>
        </w:rPr>
        <w:t xml:space="preserve">In </w:t>
      </w:r>
      <w:proofErr w:type="gramStart"/>
      <w:r w:rsidRPr="00837126">
        <w:rPr>
          <w:rFonts w:asciiTheme="minorHAnsi" w:hAnsiTheme="minorHAnsi" w:cs="Arial"/>
          <w:sz w:val="22"/>
          <w:szCs w:val="22"/>
        </w:rPr>
        <w:t>fact</w:t>
      </w:r>
      <w:proofErr w:type="gramEnd"/>
      <w:r w:rsidRPr="00837126">
        <w:rPr>
          <w:rFonts w:asciiTheme="minorHAnsi" w:hAnsiTheme="minorHAnsi" w:cs="Arial"/>
          <w:sz w:val="22"/>
          <w:szCs w:val="22"/>
        </w:rPr>
        <w:t xml:space="preserve"> the Roadmap itself </w:t>
      </w:r>
      <w:r w:rsidR="006E7201">
        <w:rPr>
          <w:rFonts w:asciiTheme="minorHAnsi" w:hAnsiTheme="minorHAnsi" w:cs="Arial"/>
          <w:sz w:val="22"/>
          <w:szCs w:val="22"/>
        </w:rPr>
        <w:t>does not</w:t>
      </w:r>
      <w:r w:rsidR="006E7201" w:rsidRPr="00837126">
        <w:rPr>
          <w:rFonts w:asciiTheme="minorHAnsi" w:hAnsiTheme="minorHAnsi" w:cs="Arial"/>
          <w:sz w:val="22"/>
          <w:szCs w:val="22"/>
        </w:rPr>
        <w:t xml:space="preserve"> </w:t>
      </w:r>
      <w:r w:rsidRPr="00837126">
        <w:rPr>
          <w:rFonts w:asciiTheme="minorHAnsi" w:hAnsiTheme="minorHAnsi" w:cs="Arial"/>
          <w:sz w:val="22"/>
          <w:szCs w:val="22"/>
        </w:rPr>
        <w:t xml:space="preserve">mention climate change apart from in the Ministerial foreword. </w:t>
      </w:r>
      <w:r w:rsidR="002C1A05">
        <w:rPr>
          <w:rFonts w:asciiTheme="minorHAnsi" w:hAnsiTheme="minorHAnsi" w:cs="Arial"/>
          <w:color w:val="000000"/>
          <w:sz w:val="22"/>
          <w:szCs w:val="22"/>
        </w:rPr>
        <w:t>It is our understanding</w:t>
      </w:r>
      <w:r w:rsidRPr="00837126">
        <w:rPr>
          <w:rFonts w:asciiTheme="minorHAnsi" w:hAnsiTheme="minorHAnsi" w:cs="Arial"/>
          <w:color w:val="000000"/>
          <w:sz w:val="22"/>
          <w:szCs w:val="22"/>
        </w:rPr>
        <w:t xml:space="preserve"> that this process is intended to form the basis of Australia’s long-term low greenhouse gas emission strategy under article 4, para</w:t>
      </w:r>
      <w:r w:rsidR="002C1A05">
        <w:rPr>
          <w:rFonts w:asciiTheme="minorHAnsi" w:hAnsiTheme="minorHAnsi" w:cs="Arial"/>
          <w:color w:val="000000"/>
          <w:sz w:val="22"/>
          <w:szCs w:val="22"/>
        </w:rPr>
        <w:t>graph 19 of the Paris Agreement. It is important that further work be done to link</w:t>
      </w:r>
      <w:r w:rsidRPr="00837126">
        <w:rPr>
          <w:rFonts w:asciiTheme="minorHAnsi" w:hAnsiTheme="minorHAnsi" w:cs="Arial"/>
          <w:color w:val="000000"/>
          <w:sz w:val="22"/>
          <w:szCs w:val="22"/>
        </w:rPr>
        <w:t xml:space="preserve"> the Technology Investment Roadmap </w:t>
      </w:r>
      <w:r w:rsidR="00ED1357">
        <w:rPr>
          <w:rFonts w:asciiTheme="minorHAnsi" w:hAnsiTheme="minorHAnsi" w:cs="Arial"/>
          <w:color w:val="000000"/>
          <w:sz w:val="22"/>
          <w:szCs w:val="22"/>
        </w:rPr>
        <w:t>and</w:t>
      </w:r>
      <w:r w:rsidRPr="00837126">
        <w:rPr>
          <w:rFonts w:asciiTheme="minorHAnsi" w:hAnsiTheme="minorHAnsi" w:cs="Arial"/>
          <w:color w:val="000000"/>
          <w:sz w:val="22"/>
          <w:szCs w:val="22"/>
        </w:rPr>
        <w:t xml:space="preserve"> Low Emissions Technology Statements </w:t>
      </w:r>
      <w:r w:rsidR="00ED1357">
        <w:rPr>
          <w:rFonts w:asciiTheme="minorHAnsi" w:hAnsiTheme="minorHAnsi" w:cs="Arial"/>
          <w:color w:val="000000"/>
          <w:sz w:val="22"/>
          <w:szCs w:val="22"/>
        </w:rPr>
        <w:t>to</w:t>
      </w:r>
      <w:r w:rsidRPr="00837126">
        <w:rPr>
          <w:rFonts w:asciiTheme="minorHAnsi" w:hAnsiTheme="minorHAnsi" w:cs="Arial"/>
          <w:color w:val="000000"/>
          <w:sz w:val="22"/>
          <w:szCs w:val="22"/>
        </w:rPr>
        <w:t xml:space="preserve"> the context of the global emissions budget for limiting global temperature increase to 1.5°C or well below 2°C above pre-industrial temperatures</w:t>
      </w:r>
      <w:r w:rsidR="002C1A05">
        <w:rPr>
          <w:rFonts w:asciiTheme="minorHAnsi" w:hAnsiTheme="minorHAnsi" w:cs="Arial"/>
          <w:color w:val="000000"/>
          <w:sz w:val="22"/>
          <w:szCs w:val="22"/>
        </w:rPr>
        <w:t xml:space="preserve">. </w:t>
      </w:r>
    </w:p>
    <w:p w14:paraId="2EDDD2EC" w14:textId="77777777" w:rsidR="0075741C" w:rsidRPr="00837126" w:rsidRDefault="0075741C" w:rsidP="0075741C">
      <w:pPr>
        <w:pStyle w:val="NormalWeb"/>
        <w:spacing w:before="0" w:beforeAutospacing="0" w:after="0" w:afterAutospacing="0"/>
        <w:textAlignment w:val="baseline"/>
        <w:rPr>
          <w:rFonts w:asciiTheme="minorHAnsi" w:hAnsiTheme="minorHAnsi" w:cs="Arial"/>
          <w:b/>
          <w:color w:val="000000"/>
          <w:sz w:val="22"/>
          <w:szCs w:val="22"/>
        </w:rPr>
      </w:pPr>
    </w:p>
    <w:p w14:paraId="0EF1822D" w14:textId="365515C7" w:rsidR="0075741C" w:rsidRPr="00837126" w:rsidRDefault="008853C3" w:rsidP="0075741C">
      <w:pPr>
        <w:pStyle w:val="NormalWeb"/>
        <w:numPr>
          <w:ilvl w:val="0"/>
          <w:numId w:val="4"/>
        </w:numPr>
        <w:spacing w:before="0" w:beforeAutospacing="0" w:after="0" w:afterAutospacing="0"/>
        <w:textAlignment w:val="baseline"/>
        <w:rPr>
          <w:rFonts w:asciiTheme="minorHAnsi" w:hAnsiTheme="minorHAnsi" w:cs="Arial"/>
          <w:b/>
          <w:color w:val="000000"/>
          <w:sz w:val="22"/>
          <w:szCs w:val="22"/>
        </w:rPr>
      </w:pPr>
      <w:r w:rsidRPr="00837126">
        <w:rPr>
          <w:rFonts w:asciiTheme="minorHAnsi" w:hAnsiTheme="minorHAnsi" w:cs="Arial"/>
          <w:b/>
          <w:color w:val="000000"/>
          <w:sz w:val="22"/>
          <w:szCs w:val="22"/>
        </w:rPr>
        <w:t>Technologies should be able to achieve zero emissions</w:t>
      </w:r>
      <w:r w:rsidR="0075741C" w:rsidRPr="00837126">
        <w:rPr>
          <w:rFonts w:asciiTheme="minorHAnsi" w:hAnsiTheme="minorHAnsi" w:cs="Arial"/>
          <w:b/>
          <w:color w:val="000000"/>
          <w:sz w:val="22"/>
          <w:szCs w:val="22"/>
        </w:rPr>
        <w:t xml:space="preserve"> </w:t>
      </w:r>
    </w:p>
    <w:p w14:paraId="18AB1D19" w14:textId="77777777" w:rsidR="0075741C" w:rsidRPr="00837126" w:rsidRDefault="0075741C" w:rsidP="0075741C">
      <w:pPr>
        <w:pStyle w:val="NormalWeb"/>
        <w:spacing w:before="0" w:beforeAutospacing="0" w:after="0" w:afterAutospacing="0"/>
        <w:ind w:left="720"/>
        <w:textAlignment w:val="baseline"/>
        <w:rPr>
          <w:rFonts w:asciiTheme="minorHAnsi" w:hAnsiTheme="minorHAnsi" w:cs="Arial"/>
          <w:color w:val="000000"/>
          <w:sz w:val="22"/>
          <w:szCs w:val="22"/>
        </w:rPr>
      </w:pPr>
    </w:p>
    <w:p w14:paraId="4AB23CF8" w14:textId="77777777" w:rsidR="0075741C" w:rsidRPr="00837126" w:rsidRDefault="0075741C" w:rsidP="0075741C">
      <w:pPr>
        <w:pStyle w:val="NormalWeb"/>
        <w:spacing w:before="0" w:beforeAutospacing="0" w:after="0" w:afterAutospacing="0"/>
        <w:textAlignment w:val="baseline"/>
        <w:rPr>
          <w:rFonts w:asciiTheme="minorHAnsi" w:hAnsiTheme="minorHAnsi" w:cs="Arial"/>
          <w:color w:val="000000"/>
          <w:sz w:val="22"/>
          <w:szCs w:val="22"/>
        </w:rPr>
      </w:pPr>
      <w:r w:rsidRPr="00837126">
        <w:rPr>
          <w:rFonts w:asciiTheme="minorHAnsi" w:hAnsiTheme="minorHAnsi" w:cs="Arial"/>
          <w:color w:val="000000"/>
          <w:sz w:val="22"/>
          <w:szCs w:val="22"/>
        </w:rPr>
        <w:t xml:space="preserve">The global emissions budget for limiting average global temperatures to well below 2°C above pre-industrial temperatures is rapidly closing. This means that </w:t>
      </w:r>
      <w:hyperlink r:id="rId19" w:anchor=":~:text=The%20Production%20Gap%20Report%20%E2%80%93%20produced,of%20coal%2C%20oil%20and%20gas." w:history="1">
        <w:r w:rsidRPr="00837126">
          <w:rPr>
            <w:rStyle w:val="Hyperlink"/>
            <w:rFonts w:asciiTheme="minorHAnsi" w:hAnsiTheme="minorHAnsi" w:cs="Arial"/>
            <w:color w:val="1155CC"/>
            <w:sz w:val="22"/>
            <w:szCs w:val="22"/>
          </w:rPr>
          <w:t>existing and currently planned fossil fuel developments are sufficient to tip global mean temperatures past that goal</w:t>
        </w:r>
      </w:hyperlink>
      <w:r w:rsidRPr="00837126">
        <w:rPr>
          <w:rFonts w:asciiTheme="minorHAnsi" w:hAnsiTheme="minorHAnsi" w:cs="Arial"/>
          <w:color w:val="000000"/>
          <w:sz w:val="22"/>
          <w:szCs w:val="22"/>
        </w:rPr>
        <w:t xml:space="preserve">. It is critical therefore that Australia seeks to rapidly transition its economy to negative emissions (going beyond net zero emissions). </w:t>
      </w:r>
    </w:p>
    <w:p w14:paraId="67D46376" w14:textId="77777777" w:rsidR="0075741C" w:rsidRPr="00837126" w:rsidRDefault="0075741C" w:rsidP="0075741C">
      <w:pPr>
        <w:pStyle w:val="NormalWeb"/>
        <w:spacing w:before="0" w:beforeAutospacing="0" w:after="0" w:afterAutospacing="0"/>
        <w:textAlignment w:val="baseline"/>
        <w:rPr>
          <w:rFonts w:asciiTheme="minorHAnsi" w:hAnsiTheme="minorHAnsi" w:cs="Arial"/>
          <w:color w:val="000000"/>
          <w:sz w:val="22"/>
          <w:szCs w:val="22"/>
        </w:rPr>
      </w:pPr>
    </w:p>
    <w:p w14:paraId="5271C3DE" w14:textId="10927A4F" w:rsidR="00ED1AB0" w:rsidRPr="00837126" w:rsidRDefault="0075741C" w:rsidP="00667876">
      <w:pPr>
        <w:pStyle w:val="NormalWeb"/>
        <w:spacing w:before="0" w:beforeAutospacing="0" w:after="0" w:afterAutospacing="0"/>
        <w:textAlignment w:val="baseline"/>
        <w:rPr>
          <w:rFonts w:asciiTheme="minorHAnsi" w:hAnsiTheme="minorHAnsi" w:cs="Arial"/>
          <w:color w:val="000000"/>
          <w:sz w:val="22"/>
          <w:szCs w:val="22"/>
        </w:rPr>
      </w:pPr>
      <w:r w:rsidRPr="00837126">
        <w:rPr>
          <w:rFonts w:asciiTheme="minorHAnsi" w:hAnsiTheme="minorHAnsi" w:cs="Arial"/>
          <w:color w:val="000000"/>
          <w:sz w:val="22"/>
          <w:szCs w:val="22"/>
        </w:rPr>
        <w:t>The report should preclude any technologies that do not provide a rapid pathway to zero emissions. Therefore</w:t>
      </w:r>
      <w:r w:rsidR="009F0548">
        <w:rPr>
          <w:rFonts w:asciiTheme="minorHAnsi" w:hAnsiTheme="minorHAnsi" w:cs="Arial"/>
          <w:color w:val="000000"/>
          <w:sz w:val="22"/>
          <w:szCs w:val="22"/>
        </w:rPr>
        <w:t>, technologies and measures such as subsidies designed to expand or even support fossil fuels must, by definition, be explicitly ruled out. These include</w:t>
      </w:r>
      <w:r w:rsidRPr="00837126">
        <w:rPr>
          <w:rFonts w:asciiTheme="minorHAnsi" w:hAnsiTheme="minorHAnsi" w:cs="Arial"/>
          <w:color w:val="000000"/>
          <w:sz w:val="22"/>
          <w:szCs w:val="22"/>
        </w:rPr>
        <w:t xml:space="preserve"> Carbon Capture and Storage </w:t>
      </w:r>
      <w:r w:rsidR="002C1A05">
        <w:rPr>
          <w:rFonts w:asciiTheme="minorHAnsi" w:hAnsiTheme="minorHAnsi" w:cs="Arial"/>
          <w:color w:val="000000"/>
          <w:sz w:val="22"/>
          <w:szCs w:val="22"/>
        </w:rPr>
        <w:t xml:space="preserve">(CCS) </w:t>
      </w:r>
      <w:r w:rsidRPr="00837126">
        <w:rPr>
          <w:rFonts w:asciiTheme="minorHAnsi" w:hAnsiTheme="minorHAnsi" w:cs="Arial"/>
          <w:color w:val="000000"/>
          <w:sz w:val="22"/>
          <w:szCs w:val="22"/>
        </w:rPr>
        <w:t>a</w:t>
      </w:r>
      <w:r w:rsidR="002C1A05">
        <w:rPr>
          <w:rFonts w:asciiTheme="minorHAnsi" w:hAnsiTheme="minorHAnsi" w:cs="Arial"/>
          <w:color w:val="000000"/>
          <w:sz w:val="22"/>
          <w:szCs w:val="22"/>
        </w:rPr>
        <w:t>ssociat</w:t>
      </w:r>
      <w:r w:rsidRPr="00837126">
        <w:rPr>
          <w:rFonts w:asciiTheme="minorHAnsi" w:hAnsiTheme="minorHAnsi" w:cs="Arial"/>
          <w:color w:val="000000"/>
          <w:sz w:val="22"/>
          <w:szCs w:val="22"/>
        </w:rPr>
        <w:t xml:space="preserve">ed </w:t>
      </w:r>
      <w:r w:rsidR="002C1A05">
        <w:rPr>
          <w:rFonts w:asciiTheme="minorHAnsi" w:hAnsiTheme="minorHAnsi" w:cs="Arial"/>
          <w:color w:val="000000"/>
          <w:sz w:val="22"/>
          <w:szCs w:val="22"/>
        </w:rPr>
        <w:t>with</w:t>
      </w:r>
      <w:r w:rsidRPr="00837126">
        <w:rPr>
          <w:rFonts w:asciiTheme="minorHAnsi" w:hAnsiTheme="minorHAnsi" w:cs="Arial"/>
          <w:color w:val="000000"/>
          <w:sz w:val="22"/>
          <w:szCs w:val="22"/>
        </w:rPr>
        <w:t xml:space="preserve"> electricity infrastructure</w:t>
      </w:r>
      <w:r w:rsidR="009F0548">
        <w:rPr>
          <w:rFonts w:asciiTheme="minorHAnsi" w:hAnsiTheme="minorHAnsi" w:cs="Arial"/>
          <w:color w:val="000000"/>
          <w:sz w:val="22"/>
          <w:szCs w:val="22"/>
        </w:rPr>
        <w:t xml:space="preserve"> and gas </w:t>
      </w:r>
      <w:proofErr w:type="gramStart"/>
      <w:r w:rsidR="009F0548">
        <w:rPr>
          <w:rFonts w:asciiTheme="minorHAnsi" w:hAnsiTheme="minorHAnsi" w:cs="Arial"/>
          <w:color w:val="000000"/>
          <w:sz w:val="22"/>
          <w:szCs w:val="22"/>
        </w:rPr>
        <w:t>expansion.</w:t>
      </w:r>
      <w:r w:rsidR="00667876" w:rsidRPr="00837126">
        <w:rPr>
          <w:rFonts w:asciiTheme="minorHAnsi" w:hAnsiTheme="minorHAnsi" w:cs="Arial"/>
          <w:color w:val="000000"/>
          <w:sz w:val="22"/>
          <w:szCs w:val="22"/>
        </w:rPr>
        <w:t>.</w:t>
      </w:r>
      <w:proofErr w:type="gramEnd"/>
      <w:r w:rsidR="00667876" w:rsidRPr="00837126">
        <w:rPr>
          <w:rFonts w:asciiTheme="minorHAnsi" w:hAnsiTheme="minorHAnsi" w:cs="Arial"/>
          <w:color w:val="000000"/>
          <w:sz w:val="22"/>
          <w:szCs w:val="22"/>
        </w:rPr>
        <w:t xml:space="preserve"> </w:t>
      </w:r>
    </w:p>
    <w:p w14:paraId="0647F31B" w14:textId="2592EF73" w:rsidR="008853C3" w:rsidRPr="00837126" w:rsidRDefault="008853C3" w:rsidP="008853C3">
      <w:pPr>
        <w:pStyle w:val="Heading4"/>
        <w:shd w:val="clear" w:color="auto" w:fill="FFFFFF"/>
        <w:spacing w:after="120" w:afterAutospacing="0" w:line="276" w:lineRule="auto"/>
        <w:rPr>
          <w:rFonts w:asciiTheme="minorHAnsi" w:hAnsiTheme="minorHAnsi" w:cs="Arial"/>
          <w:b w:val="0"/>
          <w:sz w:val="22"/>
          <w:szCs w:val="22"/>
        </w:rPr>
      </w:pPr>
      <w:r w:rsidRPr="00837126">
        <w:rPr>
          <w:rFonts w:asciiTheme="minorHAnsi" w:eastAsiaTheme="minorHAnsi" w:hAnsiTheme="minorHAnsi" w:cs="Arial"/>
          <w:b w:val="0"/>
          <w:bCs w:val="0"/>
          <w:color w:val="000000"/>
          <w:sz w:val="22"/>
          <w:szCs w:val="22"/>
          <w:lang w:val="en-GB" w:eastAsia="en-GB"/>
        </w:rPr>
        <w:t xml:space="preserve">We are </w:t>
      </w:r>
      <w:r w:rsidR="006E0418">
        <w:rPr>
          <w:rFonts w:asciiTheme="minorHAnsi" w:eastAsiaTheme="minorHAnsi" w:hAnsiTheme="minorHAnsi" w:cs="Arial"/>
          <w:b w:val="0"/>
          <w:bCs w:val="0"/>
          <w:color w:val="000000"/>
          <w:sz w:val="22"/>
          <w:szCs w:val="22"/>
          <w:lang w:val="en-GB" w:eastAsia="en-GB"/>
        </w:rPr>
        <w:t xml:space="preserve">deeply </w:t>
      </w:r>
      <w:r w:rsidRPr="00837126">
        <w:rPr>
          <w:rFonts w:asciiTheme="minorHAnsi" w:eastAsiaTheme="minorHAnsi" w:hAnsiTheme="minorHAnsi" w:cs="Arial"/>
          <w:b w:val="0"/>
          <w:bCs w:val="0"/>
          <w:color w:val="000000"/>
          <w:sz w:val="22"/>
          <w:szCs w:val="22"/>
          <w:lang w:val="en-GB" w:eastAsia="en-GB"/>
        </w:rPr>
        <w:t xml:space="preserve">concerned that </w:t>
      </w:r>
      <w:r w:rsidRPr="00837126">
        <w:rPr>
          <w:rFonts w:asciiTheme="minorHAnsi" w:hAnsiTheme="minorHAnsi" w:cs="Arial"/>
          <w:b w:val="0"/>
          <w:sz w:val="22"/>
          <w:szCs w:val="22"/>
        </w:rPr>
        <w:t>the ‘neutrality’ of the technology roadmap is compromised by the massive gas subsidies proposed by Manufacturing Taskforce of the National COVID Coordination Commission (NCCC).</w:t>
      </w:r>
      <w:r w:rsidRPr="00837126">
        <w:rPr>
          <w:rStyle w:val="FootnoteReference"/>
          <w:rFonts w:asciiTheme="minorHAnsi" w:hAnsiTheme="minorHAnsi" w:cs="Arial"/>
          <w:b w:val="0"/>
          <w:sz w:val="22"/>
          <w:szCs w:val="22"/>
        </w:rPr>
        <w:footnoteReference w:id="1"/>
      </w:r>
      <w:r w:rsidRPr="00837126">
        <w:rPr>
          <w:rFonts w:asciiTheme="minorHAnsi" w:hAnsiTheme="minorHAnsi" w:cs="Arial"/>
          <w:b w:val="0"/>
          <w:sz w:val="22"/>
          <w:szCs w:val="22"/>
        </w:rPr>
        <w:t xml:space="preserve"> These gas subsidies will dwarf any past subsidies provided to renewable energy and erase any emission reductions that might be </w:t>
      </w:r>
      <w:r w:rsidR="009F0548">
        <w:rPr>
          <w:rFonts w:asciiTheme="minorHAnsi" w:hAnsiTheme="minorHAnsi" w:cs="Arial"/>
          <w:b w:val="0"/>
          <w:sz w:val="22"/>
          <w:szCs w:val="22"/>
        </w:rPr>
        <w:t xml:space="preserve">made </w:t>
      </w:r>
      <w:r w:rsidRPr="00837126">
        <w:rPr>
          <w:rFonts w:asciiTheme="minorHAnsi" w:hAnsiTheme="minorHAnsi" w:cs="Arial"/>
          <w:b w:val="0"/>
          <w:sz w:val="22"/>
          <w:szCs w:val="22"/>
        </w:rPr>
        <w:t xml:space="preserve">possible by the technology roadmap. The decisions to expand fossil fuels under the </w:t>
      </w:r>
      <w:r w:rsidR="009F0548">
        <w:rPr>
          <w:rFonts w:asciiTheme="minorHAnsi" w:hAnsiTheme="minorHAnsi" w:cs="Arial"/>
          <w:b w:val="0"/>
          <w:sz w:val="22"/>
          <w:szCs w:val="22"/>
        </w:rPr>
        <w:t>cover</w:t>
      </w:r>
      <w:r w:rsidRPr="00837126">
        <w:rPr>
          <w:rFonts w:asciiTheme="minorHAnsi" w:hAnsiTheme="minorHAnsi" w:cs="Arial"/>
          <w:b w:val="0"/>
          <w:sz w:val="22"/>
          <w:szCs w:val="22"/>
        </w:rPr>
        <w:t xml:space="preserve"> of COVID-19 economic recovery </w:t>
      </w:r>
      <w:proofErr w:type="gramStart"/>
      <w:r w:rsidRPr="00837126">
        <w:rPr>
          <w:rFonts w:asciiTheme="minorHAnsi" w:hAnsiTheme="minorHAnsi" w:cs="Arial"/>
          <w:b w:val="0"/>
          <w:sz w:val="22"/>
          <w:szCs w:val="22"/>
        </w:rPr>
        <w:t>are</w:t>
      </w:r>
      <w:proofErr w:type="gramEnd"/>
      <w:r w:rsidRPr="00837126">
        <w:rPr>
          <w:rFonts w:asciiTheme="minorHAnsi" w:hAnsiTheme="minorHAnsi" w:cs="Arial"/>
          <w:b w:val="0"/>
          <w:sz w:val="22"/>
          <w:szCs w:val="22"/>
        </w:rPr>
        <w:t xml:space="preserve"> deeply concerning</w:t>
      </w:r>
      <w:r w:rsidR="009F0548">
        <w:rPr>
          <w:rFonts w:asciiTheme="minorHAnsi" w:hAnsiTheme="minorHAnsi" w:cs="Arial"/>
          <w:b w:val="0"/>
          <w:sz w:val="22"/>
          <w:szCs w:val="22"/>
        </w:rPr>
        <w:t xml:space="preserve"> and run counter to any intention to address greenhouse gas emissions</w:t>
      </w:r>
      <w:r w:rsidRPr="00837126">
        <w:rPr>
          <w:rFonts w:asciiTheme="minorHAnsi" w:hAnsiTheme="minorHAnsi" w:cs="Arial"/>
          <w:b w:val="0"/>
          <w:sz w:val="22"/>
          <w:szCs w:val="22"/>
        </w:rPr>
        <w:t xml:space="preserve">. It is also at complete odds with </w:t>
      </w:r>
      <w:r w:rsidR="002C1A05">
        <w:rPr>
          <w:rFonts w:asciiTheme="minorHAnsi" w:hAnsiTheme="minorHAnsi" w:cs="Arial"/>
          <w:b w:val="0"/>
          <w:sz w:val="22"/>
          <w:szCs w:val="22"/>
        </w:rPr>
        <w:t xml:space="preserve">goals of </w:t>
      </w:r>
      <w:r w:rsidRPr="00837126">
        <w:rPr>
          <w:rFonts w:asciiTheme="minorHAnsi" w:hAnsiTheme="minorHAnsi" w:cs="Arial"/>
          <w:b w:val="0"/>
          <w:sz w:val="22"/>
          <w:szCs w:val="22"/>
        </w:rPr>
        <w:t>councils and their communities across Australia, who are increasingly making ‘climate emergency’ declarations</w:t>
      </w:r>
      <w:r w:rsidR="00D806C9">
        <w:rPr>
          <w:rFonts w:asciiTheme="minorHAnsi" w:hAnsiTheme="minorHAnsi" w:cs="Arial"/>
          <w:b w:val="0"/>
          <w:sz w:val="22"/>
          <w:szCs w:val="22"/>
        </w:rPr>
        <w:t>,</w:t>
      </w:r>
      <w:r w:rsidRPr="00837126">
        <w:rPr>
          <w:rFonts w:asciiTheme="minorHAnsi" w:hAnsiTheme="minorHAnsi" w:cs="Arial"/>
          <w:b w:val="0"/>
          <w:sz w:val="22"/>
          <w:szCs w:val="22"/>
        </w:rPr>
        <w:t xml:space="preserve"> setting ambitious science</w:t>
      </w:r>
      <w:r w:rsidR="00D806C9">
        <w:rPr>
          <w:rFonts w:asciiTheme="minorHAnsi" w:hAnsiTheme="minorHAnsi" w:cs="Arial"/>
          <w:b w:val="0"/>
          <w:sz w:val="22"/>
          <w:szCs w:val="22"/>
        </w:rPr>
        <w:t>-</w:t>
      </w:r>
      <w:r w:rsidRPr="00837126">
        <w:rPr>
          <w:rFonts w:asciiTheme="minorHAnsi" w:hAnsiTheme="minorHAnsi" w:cs="Arial"/>
          <w:b w:val="0"/>
          <w:sz w:val="22"/>
          <w:szCs w:val="22"/>
        </w:rPr>
        <w:t>based zero net emission goals</w:t>
      </w:r>
      <w:r w:rsidR="00D806C9">
        <w:rPr>
          <w:rFonts w:asciiTheme="minorHAnsi" w:hAnsiTheme="minorHAnsi" w:cs="Arial"/>
          <w:b w:val="0"/>
          <w:sz w:val="22"/>
          <w:szCs w:val="22"/>
        </w:rPr>
        <w:t xml:space="preserve"> and implementing them through their own technology roadmaps, which involve switching to renewable energy, efficiency and energy demand management</w:t>
      </w:r>
      <w:r w:rsidRPr="00837126">
        <w:rPr>
          <w:rFonts w:asciiTheme="minorHAnsi" w:hAnsiTheme="minorHAnsi" w:cs="Arial"/>
          <w:b w:val="0"/>
          <w:sz w:val="22"/>
          <w:szCs w:val="22"/>
        </w:rPr>
        <w:t>.</w:t>
      </w:r>
      <w:r w:rsidR="00D806C9">
        <w:rPr>
          <w:rFonts w:asciiTheme="minorHAnsi" w:hAnsiTheme="minorHAnsi" w:cs="Arial"/>
          <w:b w:val="0"/>
          <w:sz w:val="22"/>
          <w:szCs w:val="22"/>
        </w:rPr>
        <w:t xml:space="preserve"> One significant trend is the electrification of energy requirements </w:t>
      </w:r>
      <w:proofErr w:type="gramStart"/>
      <w:r w:rsidR="00D806C9">
        <w:rPr>
          <w:rFonts w:asciiTheme="minorHAnsi" w:hAnsiTheme="minorHAnsi" w:cs="Arial"/>
          <w:b w:val="0"/>
          <w:sz w:val="22"/>
          <w:szCs w:val="22"/>
        </w:rPr>
        <w:t>in order to</w:t>
      </w:r>
      <w:proofErr w:type="gramEnd"/>
      <w:r w:rsidR="00D806C9">
        <w:rPr>
          <w:rFonts w:asciiTheme="minorHAnsi" w:hAnsiTheme="minorHAnsi" w:cs="Arial"/>
          <w:b w:val="0"/>
          <w:sz w:val="22"/>
          <w:szCs w:val="22"/>
        </w:rPr>
        <w:t xml:space="preserve"> move away from gas as a polluting fossil fuel.</w:t>
      </w:r>
      <w:r w:rsidR="00441E92">
        <w:rPr>
          <w:rFonts w:asciiTheme="minorHAnsi" w:hAnsiTheme="minorHAnsi" w:cs="Arial"/>
          <w:b w:val="0"/>
          <w:sz w:val="22"/>
          <w:szCs w:val="22"/>
        </w:rPr>
        <w:t xml:space="preserve"> As well as avoiding emissions, councils are concerned not to make investment decisions which lock them into emissions-intensive infrastructure which may prove wastefully expensive over its lifespan, as gas markets change and renewable energy advances.</w:t>
      </w:r>
    </w:p>
    <w:p w14:paraId="1D79B11B" w14:textId="44C346BA" w:rsidR="00ED1AB0" w:rsidRPr="00837126" w:rsidRDefault="00441E92" w:rsidP="00ED1AB0">
      <w:pPr>
        <w:pStyle w:val="NormalWeb"/>
        <w:textAlignment w:val="baseline"/>
        <w:rPr>
          <w:rFonts w:asciiTheme="minorHAnsi" w:hAnsiTheme="minorHAnsi" w:cs="Arial"/>
          <w:color w:val="000000"/>
          <w:sz w:val="22"/>
          <w:szCs w:val="22"/>
        </w:rPr>
      </w:pPr>
      <w:r>
        <w:rPr>
          <w:rFonts w:asciiTheme="minorHAnsi" w:hAnsiTheme="minorHAnsi" w:cs="Arial"/>
          <w:color w:val="000000"/>
          <w:sz w:val="22"/>
          <w:szCs w:val="22"/>
        </w:rPr>
        <w:lastRenderedPageBreak/>
        <w:t>Accordingly, w</w:t>
      </w:r>
      <w:r w:rsidR="00ED1AB0" w:rsidRPr="00837126">
        <w:rPr>
          <w:rFonts w:asciiTheme="minorHAnsi" w:hAnsiTheme="minorHAnsi" w:cs="Arial"/>
          <w:color w:val="000000"/>
          <w:sz w:val="22"/>
          <w:szCs w:val="22"/>
        </w:rPr>
        <w:t xml:space="preserve">hilst we acknowledge that </w:t>
      </w:r>
      <w:r w:rsidR="002C1A05">
        <w:rPr>
          <w:rFonts w:asciiTheme="minorHAnsi" w:hAnsiTheme="minorHAnsi" w:cs="Arial"/>
          <w:color w:val="000000"/>
          <w:sz w:val="22"/>
          <w:szCs w:val="22"/>
        </w:rPr>
        <w:t xml:space="preserve">existing </w:t>
      </w:r>
      <w:r w:rsidR="00ED1AB0" w:rsidRPr="00837126">
        <w:rPr>
          <w:rFonts w:asciiTheme="minorHAnsi" w:hAnsiTheme="minorHAnsi" w:cs="Arial"/>
          <w:color w:val="000000"/>
          <w:sz w:val="22"/>
          <w:szCs w:val="22"/>
        </w:rPr>
        <w:t xml:space="preserve">gas may have a short term role in assisting higher penetrations of wind and solar, there is </w:t>
      </w:r>
      <w:proofErr w:type="gramStart"/>
      <w:r w:rsidR="00ED1AB0" w:rsidRPr="00837126">
        <w:rPr>
          <w:rFonts w:asciiTheme="minorHAnsi" w:hAnsiTheme="minorHAnsi" w:cs="Arial"/>
          <w:color w:val="000000"/>
          <w:sz w:val="22"/>
          <w:szCs w:val="22"/>
        </w:rPr>
        <w:t xml:space="preserve">no </w:t>
      </w:r>
      <w:r w:rsidR="002C1A05">
        <w:rPr>
          <w:rFonts w:asciiTheme="minorHAnsi" w:hAnsiTheme="minorHAnsi" w:cs="Arial"/>
          <w:color w:val="000000"/>
          <w:sz w:val="22"/>
          <w:szCs w:val="22"/>
        </w:rPr>
        <w:t xml:space="preserve"> medium</w:t>
      </w:r>
      <w:proofErr w:type="gramEnd"/>
      <w:r w:rsidR="002C1A05">
        <w:rPr>
          <w:rFonts w:asciiTheme="minorHAnsi" w:hAnsiTheme="minorHAnsi" w:cs="Arial"/>
          <w:color w:val="000000"/>
          <w:sz w:val="22"/>
          <w:szCs w:val="22"/>
        </w:rPr>
        <w:t xml:space="preserve"> to</w:t>
      </w:r>
      <w:r w:rsidR="00ED1AB0" w:rsidRPr="00837126">
        <w:rPr>
          <w:rFonts w:asciiTheme="minorHAnsi" w:hAnsiTheme="minorHAnsi" w:cs="Arial"/>
          <w:color w:val="000000"/>
          <w:sz w:val="22"/>
          <w:szCs w:val="22"/>
        </w:rPr>
        <w:t xml:space="preserve"> long term role for gas. Open-cycle gas is very flexible but quite inefficient. While newer open-cycle gas turbines can be better, the worst open cycle gas power station in Australia (Dry Creek in SA) emits more greenhouse gas per unit of electricity than the very worst coal fired power station (</w:t>
      </w:r>
      <w:proofErr w:type="spellStart"/>
      <w:r w:rsidR="00ED1AB0" w:rsidRPr="00837126">
        <w:rPr>
          <w:rFonts w:asciiTheme="minorHAnsi" w:hAnsiTheme="minorHAnsi" w:cs="Arial"/>
          <w:color w:val="000000"/>
          <w:sz w:val="22"/>
          <w:szCs w:val="22"/>
        </w:rPr>
        <w:t>Yallourn</w:t>
      </w:r>
      <w:proofErr w:type="spellEnd"/>
      <w:r w:rsidR="00ED1AB0" w:rsidRPr="00837126">
        <w:rPr>
          <w:rFonts w:asciiTheme="minorHAnsi" w:hAnsiTheme="minorHAnsi" w:cs="Arial"/>
          <w:color w:val="000000"/>
          <w:sz w:val="22"/>
          <w:szCs w:val="22"/>
        </w:rPr>
        <w:t>).</w:t>
      </w:r>
    </w:p>
    <w:p w14:paraId="0C804EC5" w14:textId="6617AF5D" w:rsidR="0075741C" w:rsidRPr="002C1A05" w:rsidRDefault="00667876" w:rsidP="00667876">
      <w:pPr>
        <w:pStyle w:val="NormalWeb"/>
        <w:numPr>
          <w:ilvl w:val="0"/>
          <w:numId w:val="4"/>
        </w:numPr>
        <w:spacing w:before="0" w:beforeAutospacing="0" w:after="0" w:afterAutospacing="0"/>
        <w:textAlignment w:val="baseline"/>
        <w:rPr>
          <w:rFonts w:asciiTheme="minorHAnsi" w:hAnsiTheme="minorHAnsi" w:cs="Arial"/>
          <w:b/>
          <w:color w:val="000000"/>
          <w:sz w:val="22"/>
          <w:szCs w:val="22"/>
        </w:rPr>
      </w:pPr>
      <w:r w:rsidRPr="002C1A05">
        <w:rPr>
          <w:rFonts w:asciiTheme="minorHAnsi" w:hAnsiTheme="minorHAnsi" w:cs="Arial"/>
          <w:b/>
          <w:color w:val="000000"/>
          <w:sz w:val="22"/>
          <w:szCs w:val="22"/>
        </w:rPr>
        <w:t xml:space="preserve"> </w:t>
      </w:r>
      <w:r w:rsidR="00B45436" w:rsidRPr="002C1A05">
        <w:rPr>
          <w:rFonts w:asciiTheme="minorHAnsi" w:hAnsiTheme="minorHAnsi" w:cs="Arial"/>
          <w:b/>
          <w:color w:val="000000"/>
          <w:sz w:val="22"/>
          <w:szCs w:val="22"/>
        </w:rPr>
        <w:t xml:space="preserve">The Roadmap should set an overarching goal for electrification and efficiency </w:t>
      </w:r>
    </w:p>
    <w:p w14:paraId="70F79B8F" w14:textId="77777777" w:rsidR="00B45436" w:rsidRPr="00837126" w:rsidRDefault="00B45436" w:rsidP="00B45436">
      <w:pPr>
        <w:pStyle w:val="NormalWeb"/>
        <w:spacing w:before="0" w:beforeAutospacing="0" w:after="0" w:afterAutospacing="0"/>
        <w:textAlignment w:val="baseline"/>
        <w:rPr>
          <w:rFonts w:asciiTheme="minorHAnsi" w:hAnsiTheme="minorHAnsi" w:cs="Arial"/>
          <w:color w:val="000000"/>
          <w:sz w:val="22"/>
          <w:szCs w:val="22"/>
        </w:rPr>
      </w:pPr>
    </w:p>
    <w:p w14:paraId="5B243C33" w14:textId="6888FCD9" w:rsidR="0069050D" w:rsidRDefault="00B45436" w:rsidP="0069050D">
      <w:pPr>
        <w:rPr>
          <w:rFonts w:asciiTheme="minorHAnsi" w:eastAsia="Times New Roman" w:hAnsiTheme="minorHAnsi" w:cs="Segoe UI"/>
          <w:iCs/>
          <w:color w:val="313131"/>
          <w:sz w:val="22"/>
          <w:szCs w:val="22"/>
          <w:shd w:val="clear" w:color="auto" w:fill="FFFFFF"/>
          <w:lang w:val="en-GB" w:eastAsia="en-GB"/>
        </w:rPr>
      </w:pPr>
      <w:r w:rsidRPr="00837126">
        <w:rPr>
          <w:rFonts w:asciiTheme="minorHAnsi" w:hAnsiTheme="minorHAnsi" w:cs="Arial"/>
          <w:color w:val="000000"/>
          <w:sz w:val="22"/>
          <w:szCs w:val="22"/>
        </w:rPr>
        <w:t xml:space="preserve">It is broadly recognised that Australia can achieve a zero emissions economy by electrifying </w:t>
      </w:r>
      <w:r w:rsidR="00F264D6">
        <w:rPr>
          <w:rFonts w:asciiTheme="minorHAnsi" w:hAnsiTheme="minorHAnsi" w:cs="Arial"/>
          <w:color w:val="000000"/>
          <w:sz w:val="22"/>
          <w:szCs w:val="22"/>
        </w:rPr>
        <w:t>all sectors</w:t>
      </w:r>
      <w:r w:rsidRPr="00837126">
        <w:rPr>
          <w:rFonts w:asciiTheme="minorHAnsi" w:hAnsiTheme="minorHAnsi" w:cs="Arial"/>
          <w:color w:val="000000"/>
          <w:sz w:val="22"/>
          <w:szCs w:val="22"/>
        </w:rPr>
        <w:t xml:space="preserve">. </w:t>
      </w:r>
      <w:r w:rsidR="0069050D" w:rsidRPr="00837126">
        <w:rPr>
          <w:rFonts w:asciiTheme="minorHAnsi" w:hAnsiTheme="minorHAnsi" w:cs="Arial"/>
          <w:color w:val="000000"/>
          <w:sz w:val="22"/>
          <w:szCs w:val="22"/>
        </w:rPr>
        <w:t xml:space="preserve">Professor </w:t>
      </w:r>
      <w:proofErr w:type="spellStart"/>
      <w:r w:rsidR="0069050D" w:rsidRPr="00837126">
        <w:rPr>
          <w:rFonts w:asciiTheme="minorHAnsi" w:hAnsiTheme="minorHAnsi" w:cs="Arial"/>
          <w:color w:val="000000"/>
          <w:sz w:val="22"/>
          <w:szCs w:val="22"/>
        </w:rPr>
        <w:t>Finkel</w:t>
      </w:r>
      <w:proofErr w:type="spellEnd"/>
      <w:r w:rsidR="0069050D" w:rsidRPr="00837126">
        <w:rPr>
          <w:rFonts w:asciiTheme="minorHAnsi" w:hAnsiTheme="minorHAnsi" w:cs="Arial"/>
          <w:color w:val="000000"/>
          <w:sz w:val="22"/>
          <w:szCs w:val="22"/>
        </w:rPr>
        <w:t xml:space="preserve"> also laid out a vision for an ‘electric planet’ in his press club briefing on 20 February 2020. This recognises “a future where we </w:t>
      </w:r>
      <w:r w:rsidR="0069050D" w:rsidRPr="00837126">
        <w:rPr>
          <w:rFonts w:asciiTheme="minorHAnsi" w:eastAsia="Times New Roman" w:hAnsiTheme="minorHAnsi" w:cs="Segoe UI"/>
          <w:iCs/>
          <w:color w:val="313131"/>
          <w:sz w:val="22"/>
          <w:szCs w:val="22"/>
          <w:shd w:val="clear" w:color="auto" w:fill="FFFFFF"/>
          <w:lang w:val="en-GB" w:eastAsia="en-GB"/>
        </w:rPr>
        <w:t xml:space="preserve">supply the </w:t>
      </w:r>
      <w:proofErr w:type="gramStart"/>
      <w:r w:rsidR="0069050D" w:rsidRPr="00837126">
        <w:rPr>
          <w:rFonts w:asciiTheme="minorHAnsi" w:eastAsia="Times New Roman" w:hAnsiTheme="minorHAnsi" w:cs="Segoe UI"/>
          <w:iCs/>
          <w:color w:val="313131"/>
          <w:sz w:val="22"/>
          <w:szCs w:val="22"/>
          <w:shd w:val="clear" w:color="auto" w:fill="FFFFFF"/>
          <w:lang w:val="en-GB" w:eastAsia="en-GB"/>
        </w:rPr>
        <w:t>vast majority</w:t>
      </w:r>
      <w:proofErr w:type="gramEnd"/>
      <w:r w:rsidR="0069050D" w:rsidRPr="00837126">
        <w:rPr>
          <w:rFonts w:asciiTheme="minorHAnsi" w:eastAsia="Times New Roman" w:hAnsiTheme="minorHAnsi" w:cs="Segoe UI"/>
          <w:iCs/>
          <w:color w:val="313131"/>
          <w:sz w:val="22"/>
          <w:szCs w:val="22"/>
          <w:shd w:val="clear" w:color="auto" w:fill="FFFFFF"/>
          <w:lang w:val="en-GB" w:eastAsia="en-GB"/>
        </w:rPr>
        <w:t xml:space="preserve"> of our energy requirements by electricity. Clean electricity.” However, the Roadmap does not currently identify any overarching goals of electrification</w:t>
      </w:r>
      <w:r w:rsidR="00F264D6">
        <w:rPr>
          <w:rFonts w:asciiTheme="minorHAnsi" w:eastAsia="Times New Roman" w:hAnsiTheme="minorHAnsi" w:cs="Segoe UI"/>
          <w:iCs/>
          <w:color w:val="313131"/>
          <w:sz w:val="22"/>
          <w:szCs w:val="22"/>
          <w:shd w:val="clear" w:color="auto" w:fill="FFFFFF"/>
          <w:lang w:val="en-GB" w:eastAsia="en-GB"/>
        </w:rPr>
        <w:t xml:space="preserve">.  This </w:t>
      </w:r>
      <w:proofErr w:type="spellStart"/>
      <w:r w:rsidR="00F264D6">
        <w:rPr>
          <w:rFonts w:asciiTheme="minorHAnsi" w:eastAsia="Times New Roman" w:hAnsiTheme="minorHAnsi" w:cs="Segoe UI"/>
          <w:iCs/>
          <w:color w:val="313131"/>
          <w:sz w:val="22"/>
          <w:szCs w:val="22"/>
          <w:shd w:val="clear" w:color="auto" w:fill="FFFFFF"/>
          <w:lang w:val="en-GB" w:eastAsia="en-GB"/>
        </w:rPr>
        <w:t>must</w:t>
      </w:r>
      <w:r w:rsidR="0069050D" w:rsidRPr="00837126">
        <w:rPr>
          <w:rFonts w:asciiTheme="minorHAnsi" w:eastAsia="Times New Roman" w:hAnsiTheme="minorHAnsi" w:cs="Segoe UI"/>
          <w:iCs/>
          <w:color w:val="313131"/>
          <w:sz w:val="22"/>
          <w:szCs w:val="22"/>
          <w:shd w:val="clear" w:color="auto" w:fill="FFFFFF"/>
          <w:lang w:val="en-GB" w:eastAsia="en-GB"/>
        </w:rPr>
        <w:t>guide</w:t>
      </w:r>
      <w:proofErr w:type="spellEnd"/>
      <w:r w:rsidR="0069050D" w:rsidRPr="00837126">
        <w:rPr>
          <w:rFonts w:asciiTheme="minorHAnsi" w:eastAsia="Times New Roman" w:hAnsiTheme="minorHAnsi" w:cs="Segoe UI"/>
          <w:iCs/>
          <w:color w:val="313131"/>
          <w:sz w:val="22"/>
          <w:szCs w:val="22"/>
          <w:shd w:val="clear" w:color="auto" w:fill="FFFFFF"/>
          <w:lang w:val="en-GB" w:eastAsia="en-GB"/>
        </w:rPr>
        <w:t xml:space="preserve"> the priority statements. </w:t>
      </w:r>
    </w:p>
    <w:p w14:paraId="3897B008" w14:textId="77777777" w:rsidR="00887BB6" w:rsidRDefault="00887BB6" w:rsidP="00887BB6">
      <w:pPr>
        <w:rPr>
          <w:rFonts w:asciiTheme="minorHAnsi" w:eastAsia="Times New Roman" w:hAnsiTheme="minorHAnsi" w:cs="Segoe UI"/>
          <w:iCs/>
          <w:color w:val="313131"/>
          <w:sz w:val="22"/>
          <w:szCs w:val="22"/>
          <w:shd w:val="clear" w:color="auto" w:fill="FFFFFF"/>
          <w:lang w:val="en-GB" w:eastAsia="en-GB"/>
        </w:rPr>
      </w:pPr>
    </w:p>
    <w:p w14:paraId="23BB62DE" w14:textId="592DC7A9" w:rsidR="0069050D" w:rsidRPr="00887BB6" w:rsidRDefault="005A40D1" w:rsidP="00887BB6">
      <w:pPr>
        <w:pStyle w:val="css-h6rhrn"/>
        <w:spacing w:before="0" w:beforeAutospacing="0" w:after="240" w:afterAutospacing="0"/>
        <w:textAlignment w:val="baseline"/>
        <w:rPr>
          <w:rFonts w:asciiTheme="minorHAnsi" w:hAnsiTheme="minorHAnsi"/>
          <w:color w:val="121212"/>
          <w:sz w:val="22"/>
          <w:szCs w:val="22"/>
        </w:rPr>
      </w:pPr>
      <w:r>
        <w:rPr>
          <w:rFonts w:asciiTheme="minorHAnsi" w:hAnsiTheme="minorHAnsi"/>
          <w:color w:val="121212"/>
          <w:sz w:val="22"/>
          <w:szCs w:val="22"/>
        </w:rPr>
        <w:t>Incorporating</w:t>
      </w:r>
      <w:r w:rsidR="00887BB6" w:rsidRPr="00887BB6">
        <w:rPr>
          <w:rFonts w:asciiTheme="minorHAnsi" w:hAnsiTheme="minorHAnsi"/>
          <w:color w:val="121212"/>
          <w:sz w:val="22"/>
          <w:szCs w:val="22"/>
        </w:rPr>
        <w:t xml:space="preserve"> low emissions technologies in transport and industrial sectors requires switch</w:t>
      </w:r>
      <w:r>
        <w:rPr>
          <w:rFonts w:asciiTheme="minorHAnsi" w:hAnsiTheme="minorHAnsi"/>
          <w:color w:val="121212"/>
          <w:sz w:val="22"/>
          <w:szCs w:val="22"/>
        </w:rPr>
        <w:t>ing</w:t>
      </w:r>
      <w:r w:rsidR="00887BB6" w:rsidRPr="00887BB6">
        <w:rPr>
          <w:rFonts w:asciiTheme="minorHAnsi" w:hAnsiTheme="minorHAnsi"/>
          <w:color w:val="121212"/>
          <w:sz w:val="22"/>
          <w:szCs w:val="22"/>
        </w:rPr>
        <w:t xml:space="preserve"> from fossil fuels to other energy sources. As </w:t>
      </w:r>
      <w:r>
        <w:rPr>
          <w:rFonts w:asciiTheme="minorHAnsi" w:hAnsiTheme="minorHAnsi"/>
          <w:color w:val="121212"/>
          <w:sz w:val="22"/>
          <w:szCs w:val="22"/>
        </w:rPr>
        <w:t>Australia’s electricity</w:t>
      </w:r>
      <w:r w:rsidRPr="00887BB6">
        <w:rPr>
          <w:rFonts w:asciiTheme="minorHAnsi" w:hAnsiTheme="minorHAnsi"/>
          <w:color w:val="121212"/>
          <w:sz w:val="22"/>
          <w:szCs w:val="22"/>
        </w:rPr>
        <w:t xml:space="preserve"> </w:t>
      </w:r>
      <w:r w:rsidR="00887BB6" w:rsidRPr="00887BB6">
        <w:rPr>
          <w:rFonts w:asciiTheme="minorHAnsi" w:hAnsiTheme="minorHAnsi"/>
          <w:color w:val="121212"/>
          <w:sz w:val="22"/>
          <w:szCs w:val="22"/>
        </w:rPr>
        <w:t xml:space="preserve">grid </w:t>
      </w:r>
      <w:r w:rsidR="00306C14">
        <w:rPr>
          <w:rFonts w:asciiTheme="minorHAnsi" w:hAnsiTheme="minorHAnsi"/>
          <w:color w:val="121212"/>
          <w:sz w:val="22"/>
          <w:szCs w:val="22"/>
        </w:rPr>
        <w:t>becomes</w:t>
      </w:r>
      <w:r w:rsidR="00306C14" w:rsidRPr="00887BB6">
        <w:rPr>
          <w:rFonts w:asciiTheme="minorHAnsi" w:hAnsiTheme="minorHAnsi"/>
          <w:color w:val="121212"/>
          <w:sz w:val="22"/>
          <w:szCs w:val="22"/>
        </w:rPr>
        <w:t xml:space="preserve"> </w:t>
      </w:r>
      <w:r w:rsidR="00887BB6" w:rsidRPr="00887BB6">
        <w:rPr>
          <w:rFonts w:asciiTheme="minorHAnsi" w:hAnsiTheme="minorHAnsi"/>
          <w:color w:val="121212"/>
          <w:sz w:val="22"/>
          <w:szCs w:val="22"/>
        </w:rPr>
        <w:t xml:space="preserve">cleaner </w:t>
      </w:r>
      <w:r w:rsidR="008F39EF">
        <w:rPr>
          <w:rFonts w:asciiTheme="minorHAnsi" w:hAnsiTheme="minorHAnsi"/>
          <w:color w:val="121212"/>
          <w:sz w:val="22"/>
          <w:szCs w:val="22"/>
        </w:rPr>
        <w:t>transitioning</w:t>
      </w:r>
      <w:r w:rsidR="00887BB6" w:rsidRPr="00887BB6">
        <w:rPr>
          <w:rFonts w:asciiTheme="minorHAnsi" w:hAnsiTheme="minorHAnsi"/>
          <w:color w:val="121212"/>
          <w:sz w:val="22"/>
          <w:szCs w:val="22"/>
        </w:rPr>
        <w:t xml:space="preserve"> from other fuels to electricity</w:t>
      </w:r>
      <w:r w:rsidR="00444E66" w:rsidRPr="00887BB6">
        <w:rPr>
          <w:rFonts w:asciiTheme="minorHAnsi" w:hAnsiTheme="minorHAnsi"/>
          <w:color w:val="121212"/>
          <w:sz w:val="22"/>
          <w:szCs w:val="22"/>
        </w:rPr>
        <w:t>, will make even more</w:t>
      </w:r>
      <w:r w:rsidR="00444E66">
        <w:rPr>
          <w:rFonts w:asciiTheme="minorHAnsi" w:hAnsiTheme="minorHAnsi"/>
          <w:color w:val="121212"/>
          <w:sz w:val="22"/>
          <w:szCs w:val="22"/>
        </w:rPr>
        <w:t xml:space="preserve"> economic</w:t>
      </w:r>
      <w:r w:rsidR="00444E66" w:rsidRPr="00887BB6">
        <w:rPr>
          <w:rFonts w:asciiTheme="minorHAnsi" w:hAnsiTheme="minorHAnsi"/>
          <w:color w:val="121212"/>
          <w:sz w:val="22"/>
          <w:szCs w:val="22"/>
        </w:rPr>
        <w:t xml:space="preserve"> sens</w:t>
      </w:r>
      <w:r w:rsidR="008F39EF">
        <w:rPr>
          <w:rFonts w:asciiTheme="minorHAnsi" w:hAnsiTheme="minorHAnsi"/>
          <w:color w:val="121212"/>
          <w:sz w:val="22"/>
          <w:szCs w:val="22"/>
        </w:rPr>
        <w:t>e</w:t>
      </w:r>
      <w:r w:rsidR="00887BB6" w:rsidRPr="00887BB6">
        <w:rPr>
          <w:rFonts w:asciiTheme="minorHAnsi" w:hAnsiTheme="minorHAnsi"/>
          <w:color w:val="121212"/>
          <w:sz w:val="22"/>
          <w:szCs w:val="22"/>
        </w:rPr>
        <w:t xml:space="preserve">. For example switching from </w:t>
      </w:r>
      <w:r w:rsidR="00887BB6" w:rsidRPr="00887BB6">
        <w:rPr>
          <w:rFonts w:asciiTheme="minorHAnsi" w:hAnsiTheme="minorHAnsi"/>
          <w:color w:val="121212"/>
          <w:sz w:val="22"/>
          <w:szCs w:val="22"/>
          <w:bdr w:val="none" w:sz="0" w:space="0" w:color="auto" w:frame="1"/>
        </w:rPr>
        <w:t xml:space="preserve">petrol to electric vehicles, </w:t>
      </w:r>
      <w:r w:rsidR="009A4C83" w:rsidRPr="00887BB6">
        <w:rPr>
          <w:rFonts w:asciiTheme="minorHAnsi" w:hAnsiTheme="minorHAnsi"/>
          <w:color w:val="121212"/>
          <w:sz w:val="22"/>
          <w:szCs w:val="22"/>
          <w:bdr w:val="none" w:sz="0" w:space="0" w:color="auto" w:frame="1"/>
        </w:rPr>
        <w:t>could save Australians $400bn in imported oil between now and 2050</w:t>
      </w:r>
      <w:r w:rsidR="009A4C83">
        <w:rPr>
          <w:rFonts w:asciiTheme="minorHAnsi" w:hAnsiTheme="minorHAnsi"/>
          <w:color w:val="121212"/>
          <w:sz w:val="22"/>
          <w:szCs w:val="22"/>
          <w:bdr w:val="none" w:sz="0" w:space="0" w:color="auto" w:frame="1"/>
        </w:rPr>
        <w:t xml:space="preserve"> </w:t>
      </w:r>
      <w:hyperlink r:id="rId20" w:history="1">
        <w:r w:rsidR="00887BB6" w:rsidRPr="00887BB6">
          <w:rPr>
            <w:rStyle w:val="Hyperlink"/>
            <w:rFonts w:asciiTheme="minorHAnsi" w:hAnsiTheme="minorHAnsi"/>
            <w:color w:val="BD5318"/>
            <w:sz w:val="22"/>
            <w:szCs w:val="22"/>
            <w:bdr w:val="none" w:sz="0" w:space="0" w:color="auto" w:frame="1"/>
          </w:rPr>
          <w:t> according to University of Technology Sydney</w:t>
        </w:r>
      </w:hyperlink>
      <w:r w:rsidR="009A4C83">
        <w:rPr>
          <w:rStyle w:val="Hyperlink"/>
          <w:rFonts w:asciiTheme="minorHAnsi" w:hAnsiTheme="minorHAnsi"/>
          <w:color w:val="BD5318"/>
          <w:sz w:val="22"/>
          <w:szCs w:val="22"/>
          <w:bdr w:val="none" w:sz="0" w:space="0" w:color="auto" w:frame="1"/>
        </w:rPr>
        <w:t>.</w:t>
      </w:r>
      <w:r w:rsidR="00887BB6" w:rsidRPr="00887BB6">
        <w:rPr>
          <w:rFonts w:asciiTheme="minorHAnsi" w:hAnsiTheme="minorHAnsi"/>
          <w:color w:val="121212"/>
          <w:sz w:val="22"/>
          <w:szCs w:val="22"/>
          <w:bdr w:val="none" w:sz="0" w:space="0" w:color="auto" w:frame="1"/>
        </w:rPr>
        <w:t> </w:t>
      </w:r>
      <w:r w:rsidR="00887BB6" w:rsidRPr="00887BB6">
        <w:rPr>
          <w:rFonts w:asciiTheme="minorHAnsi" w:hAnsiTheme="minorHAnsi"/>
          <w:color w:val="121212"/>
          <w:sz w:val="22"/>
          <w:szCs w:val="22"/>
          <w:bdr w:val="none" w:sz="0" w:space="0" w:color="auto" w:frame="1"/>
          <w:shd w:val="clear" w:color="auto" w:fill="FEF9F5"/>
        </w:rPr>
        <w:t xml:space="preserve"> </w:t>
      </w:r>
    </w:p>
    <w:p w14:paraId="7D02CF34" w14:textId="4C517DC7" w:rsidR="00C61984" w:rsidRPr="00837126" w:rsidRDefault="0069050D" w:rsidP="0069050D">
      <w:pPr>
        <w:rPr>
          <w:rFonts w:asciiTheme="minorHAnsi" w:eastAsia="Times New Roman" w:hAnsiTheme="minorHAnsi" w:cs="Segoe UI"/>
          <w:iCs/>
          <w:color w:val="313131"/>
          <w:sz w:val="22"/>
          <w:szCs w:val="22"/>
          <w:shd w:val="clear" w:color="auto" w:fill="FFFFFF"/>
          <w:lang w:val="en-GB" w:eastAsia="en-GB"/>
        </w:rPr>
      </w:pPr>
      <w:r w:rsidRPr="00837126">
        <w:rPr>
          <w:rFonts w:asciiTheme="minorHAnsi" w:eastAsia="Times New Roman" w:hAnsiTheme="minorHAnsi" w:cs="Segoe UI"/>
          <w:iCs/>
          <w:color w:val="313131"/>
          <w:sz w:val="22"/>
          <w:szCs w:val="22"/>
          <w:shd w:val="clear" w:color="auto" w:fill="FFFFFF"/>
          <w:lang w:val="en-GB" w:eastAsia="en-GB"/>
        </w:rPr>
        <w:t>Local governments are working to ‘get off gas’ for their own facilities and support industry, manufacturing and agriculture to do the same. This includes the electrification of industries and businesses that require heat and steam</w:t>
      </w:r>
      <w:r w:rsidR="000A3EEC">
        <w:rPr>
          <w:rFonts w:asciiTheme="minorHAnsi" w:eastAsia="Times New Roman" w:hAnsiTheme="minorHAnsi" w:cs="Segoe UI"/>
          <w:iCs/>
          <w:color w:val="313131"/>
          <w:sz w:val="22"/>
          <w:szCs w:val="22"/>
          <w:shd w:val="clear" w:color="auto" w:fill="FFFFFF"/>
          <w:lang w:val="en-GB" w:eastAsia="en-GB"/>
        </w:rPr>
        <w:t xml:space="preserve">. </w:t>
      </w:r>
      <w:proofErr w:type="spellStart"/>
      <w:r w:rsidR="000A3EEC">
        <w:rPr>
          <w:rFonts w:asciiTheme="minorHAnsi" w:eastAsia="Times New Roman" w:hAnsiTheme="minorHAnsi" w:cs="Segoe UI"/>
          <w:iCs/>
          <w:color w:val="313131"/>
          <w:sz w:val="22"/>
          <w:szCs w:val="22"/>
          <w:shd w:val="clear" w:color="auto" w:fill="FFFFFF"/>
          <w:lang w:val="en-GB" w:eastAsia="en-GB"/>
        </w:rPr>
        <w:t>There</w:t>
      </w:r>
      <w:r w:rsidRPr="00837126">
        <w:rPr>
          <w:rFonts w:asciiTheme="minorHAnsi" w:eastAsia="Times New Roman" w:hAnsiTheme="minorHAnsi" w:cs="Segoe UI"/>
          <w:iCs/>
          <w:color w:val="313131"/>
          <w:sz w:val="22"/>
          <w:szCs w:val="22"/>
          <w:shd w:val="clear" w:color="auto" w:fill="FFFFFF"/>
          <w:lang w:val="en-GB" w:eastAsia="en-GB"/>
        </w:rPr>
        <w:t>is</w:t>
      </w:r>
      <w:proofErr w:type="spellEnd"/>
      <w:r w:rsidRPr="00837126">
        <w:rPr>
          <w:rFonts w:asciiTheme="minorHAnsi" w:eastAsia="Times New Roman" w:hAnsiTheme="minorHAnsi" w:cs="Segoe UI"/>
          <w:iCs/>
          <w:color w:val="313131"/>
          <w:sz w:val="22"/>
          <w:szCs w:val="22"/>
          <w:shd w:val="clear" w:color="auto" w:fill="FFFFFF"/>
          <w:lang w:val="en-GB" w:eastAsia="en-GB"/>
        </w:rPr>
        <w:t xml:space="preserve"> a huge opportunity in Australia to advance heat pump and other gas and diesel replacement technologies</w:t>
      </w:r>
      <w:r w:rsidR="00C61984">
        <w:rPr>
          <w:rFonts w:asciiTheme="minorHAnsi" w:eastAsia="Times New Roman" w:hAnsiTheme="minorHAnsi" w:cs="Segoe UI"/>
          <w:iCs/>
          <w:color w:val="313131"/>
          <w:sz w:val="22"/>
          <w:szCs w:val="22"/>
          <w:shd w:val="clear" w:color="auto" w:fill="FFFFFF"/>
          <w:lang w:val="en-GB" w:eastAsia="en-GB"/>
        </w:rPr>
        <w:t xml:space="preserve"> as well as demand response</w:t>
      </w:r>
      <w:r w:rsidRPr="00837126">
        <w:rPr>
          <w:rFonts w:asciiTheme="minorHAnsi" w:eastAsia="Times New Roman" w:hAnsiTheme="minorHAnsi" w:cs="Segoe UI"/>
          <w:iCs/>
          <w:color w:val="313131"/>
          <w:sz w:val="22"/>
          <w:szCs w:val="22"/>
          <w:shd w:val="clear" w:color="auto" w:fill="FFFFFF"/>
          <w:lang w:val="en-GB" w:eastAsia="en-GB"/>
        </w:rPr>
        <w:t>. Similarly, councils are working with communities to support energy efficiency includin</w:t>
      </w:r>
      <w:r w:rsidR="00887BB6">
        <w:rPr>
          <w:rFonts w:asciiTheme="minorHAnsi" w:eastAsia="Times New Roman" w:hAnsiTheme="minorHAnsi" w:cs="Segoe UI"/>
          <w:iCs/>
          <w:color w:val="313131"/>
          <w:sz w:val="22"/>
          <w:szCs w:val="22"/>
          <w:shd w:val="clear" w:color="auto" w:fill="FFFFFF"/>
          <w:lang w:val="en-GB" w:eastAsia="en-GB"/>
        </w:rPr>
        <w:t xml:space="preserve">g shifts to all electric homes and electric transport. </w:t>
      </w:r>
    </w:p>
    <w:p w14:paraId="7A1E5999" w14:textId="77777777" w:rsidR="0069050D" w:rsidRPr="00837126" w:rsidRDefault="0069050D" w:rsidP="0069050D">
      <w:pPr>
        <w:rPr>
          <w:rFonts w:asciiTheme="minorHAnsi" w:eastAsia="Times New Roman" w:hAnsiTheme="minorHAnsi" w:cs="Segoe UI"/>
          <w:iCs/>
          <w:color w:val="313131"/>
          <w:sz w:val="22"/>
          <w:szCs w:val="22"/>
          <w:shd w:val="clear" w:color="auto" w:fill="FFFFFF"/>
          <w:lang w:val="en-GB" w:eastAsia="en-GB"/>
        </w:rPr>
      </w:pPr>
    </w:p>
    <w:p w14:paraId="2E1C9CD8" w14:textId="4FC8E10F" w:rsidR="00ED1AB0" w:rsidRPr="00837126" w:rsidRDefault="00ED1AB0" w:rsidP="00ED1AB0">
      <w:pPr>
        <w:pStyle w:val="ListParagraph"/>
        <w:numPr>
          <w:ilvl w:val="0"/>
          <w:numId w:val="4"/>
        </w:numPr>
        <w:rPr>
          <w:rFonts w:asciiTheme="minorHAnsi" w:eastAsia="Times New Roman" w:hAnsiTheme="minorHAnsi" w:cs="Segoe UI"/>
          <w:b/>
          <w:iCs/>
          <w:color w:val="313131"/>
          <w:sz w:val="22"/>
          <w:szCs w:val="22"/>
          <w:shd w:val="clear" w:color="auto" w:fill="FFFFFF"/>
          <w:lang w:val="en-GB" w:eastAsia="en-GB"/>
        </w:rPr>
      </w:pPr>
      <w:r w:rsidRPr="00837126">
        <w:rPr>
          <w:rFonts w:asciiTheme="minorHAnsi" w:eastAsia="Times New Roman" w:hAnsiTheme="minorHAnsi" w:cs="Segoe UI"/>
          <w:b/>
          <w:iCs/>
          <w:color w:val="313131"/>
          <w:sz w:val="22"/>
          <w:szCs w:val="22"/>
          <w:shd w:val="clear" w:color="auto" w:fill="FFFFFF"/>
          <w:lang w:val="en-GB" w:eastAsia="en-GB"/>
        </w:rPr>
        <w:t xml:space="preserve">Immediate need to rapidly advance wind and solar </w:t>
      </w:r>
    </w:p>
    <w:p w14:paraId="3A7C5B57" w14:textId="77777777" w:rsidR="00ED1AB0" w:rsidRPr="00837126" w:rsidRDefault="00ED1AB0" w:rsidP="00ED1AB0">
      <w:pPr>
        <w:rPr>
          <w:rFonts w:asciiTheme="minorHAnsi" w:eastAsia="Times New Roman" w:hAnsiTheme="minorHAnsi" w:cs="Segoe UI"/>
          <w:iCs/>
          <w:color w:val="313131"/>
          <w:sz w:val="22"/>
          <w:szCs w:val="22"/>
          <w:shd w:val="clear" w:color="auto" w:fill="FFFFFF"/>
          <w:lang w:val="en-GB" w:eastAsia="en-GB"/>
        </w:rPr>
      </w:pPr>
    </w:p>
    <w:p w14:paraId="014DA9D8" w14:textId="28AEDBE5" w:rsidR="00ED1AB0" w:rsidRDefault="00ED1AB0" w:rsidP="00ED1AB0">
      <w:pPr>
        <w:rPr>
          <w:rFonts w:asciiTheme="minorHAnsi" w:eastAsia="Times New Roman" w:hAnsiTheme="minorHAnsi" w:cs="Segoe UI"/>
          <w:iCs/>
          <w:color w:val="313131"/>
          <w:sz w:val="22"/>
          <w:szCs w:val="22"/>
          <w:shd w:val="clear" w:color="auto" w:fill="FFFFFF"/>
          <w:lang w:val="en-GB" w:eastAsia="en-GB"/>
        </w:rPr>
      </w:pPr>
      <w:r w:rsidRPr="00837126">
        <w:rPr>
          <w:rFonts w:asciiTheme="minorHAnsi" w:eastAsia="Times New Roman" w:hAnsiTheme="minorHAnsi" w:cs="Segoe UI"/>
          <w:iCs/>
          <w:color w:val="313131"/>
          <w:sz w:val="22"/>
          <w:szCs w:val="22"/>
          <w:shd w:val="clear" w:color="auto" w:fill="FFFFFF"/>
          <w:lang w:val="en-GB" w:eastAsia="en-GB"/>
        </w:rPr>
        <w:t xml:space="preserve">The Roadmap recognises the role that wind and solar are playing, and </w:t>
      </w:r>
      <w:r w:rsidR="003F1460">
        <w:rPr>
          <w:rFonts w:asciiTheme="minorHAnsi" w:eastAsia="Times New Roman" w:hAnsiTheme="minorHAnsi" w:cs="Segoe UI"/>
          <w:iCs/>
          <w:color w:val="313131"/>
          <w:sz w:val="22"/>
          <w:szCs w:val="22"/>
          <w:shd w:val="clear" w:color="auto" w:fill="FFFFFF"/>
          <w:lang w:val="en-GB" w:eastAsia="en-GB"/>
        </w:rPr>
        <w:t xml:space="preserve">admits that they </w:t>
      </w:r>
      <w:proofErr w:type="gramStart"/>
      <w:r w:rsidR="003F1460">
        <w:rPr>
          <w:rFonts w:asciiTheme="minorHAnsi" w:eastAsia="Times New Roman" w:hAnsiTheme="minorHAnsi" w:cs="Segoe UI"/>
          <w:iCs/>
          <w:color w:val="313131"/>
          <w:sz w:val="22"/>
          <w:szCs w:val="22"/>
          <w:shd w:val="clear" w:color="auto" w:fill="FFFFFF"/>
          <w:lang w:val="en-GB" w:eastAsia="en-GB"/>
        </w:rPr>
        <w:t>are</w:t>
      </w:r>
      <w:r w:rsidRPr="00837126">
        <w:rPr>
          <w:rFonts w:asciiTheme="minorHAnsi" w:eastAsia="Times New Roman" w:hAnsiTheme="minorHAnsi" w:cs="Segoe UI"/>
          <w:iCs/>
          <w:color w:val="313131"/>
          <w:sz w:val="22"/>
          <w:szCs w:val="22"/>
          <w:shd w:val="clear" w:color="auto" w:fill="FFFFFF"/>
          <w:lang w:val="en-GB" w:eastAsia="en-GB"/>
        </w:rPr>
        <w:t xml:space="preserve">  foundational</w:t>
      </w:r>
      <w:proofErr w:type="gramEnd"/>
      <w:r w:rsidRPr="00837126">
        <w:rPr>
          <w:rFonts w:asciiTheme="minorHAnsi" w:eastAsia="Times New Roman" w:hAnsiTheme="minorHAnsi" w:cs="Segoe UI"/>
          <w:iCs/>
          <w:color w:val="313131"/>
          <w:sz w:val="22"/>
          <w:szCs w:val="22"/>
          <w:shd w:val="clear" w:color="auto" w:fill="FFFFFF"/>
          <w:lang w:val="en-GB" w:eastAsia="en-GB"/>
        </w:rPr>
        <w:t xml:space="preserve"> and already commercial. However, the Integrated System Plan recognises the need to significantly grow wind and solar generation over the next two decades to address the closure of coal plants. The growth of large scale wind and solar requires ongoing government action to unlock its potential. </w:t>
      </w:r>
    </w:p>
    <w:p w14:paraId="161C9180" w14:textId="77777777" w:rsidR="00C61984" w:rsidRDefault="00C61984" w:rsidP="00ED1AB0">
      <w:pPr>
        <w:rPr>
          <w:rFonts w:asciiTheme="minorHAnsi" w:eastAsia="Times New Roman" w:hAnsiTheme="minorHAnsi" w:cs="Segoe UI"/>
          <w:iCs/>
          <w:color w:val="313131"/>
          <w:sz w:val="22"/>
          <w:szCs w:val="22"/>
          <w:shd w:val="clear" w:color="auto" w:fill="FFFFFF"/>
          <w:lang w:val="en-GB" w:eastAsia="en-GB"/>
        </w:rPr>
      </w:pPr>
    </w:p>
    <w:p w14:paraId="6106A2D4" w14:textId="7E0CF5E0" w:rsidR="00C61984" w:rsidRPr="00837126" w:rsidRDefault="00C61984" w:rsidP="00ED1AB0">
      <w:pPr>
        <w:rPr>
          <w:rFonts w:asciiTheme="minorHAnsi" w:eastAsia="Times New Roman" w:hAnsiTheme="minorHAnsi" w:cs="Segoe UI"/>
          <w:iCs/>
          <w:color w:val="313131"/>
          <w:sz w:val="22"/>
          <w:szCs w:val="22"/>
          <w:shd w:val="clear" w:color="auto" w:fill="FFFFFF"/>
          <w:lang w:val="en-GB" w:eastAsia="en-GB"/>
        </w:rPr>
      </w:pPr>
      <w:r w:rsidRPr="00C61984">
        <w:rPr>
          <w:rFonts w:asciiTheme="minorHAnsi" w:eastAsia="Times New Roman" w:hAnsiTheme="minorHAnsi" w:cs="Segoe UI"/>
          <w:iCs/>
          <w:color w:val="313131"/>
          <w:sz w:val="22"/>
          <w:szCs w:val="22"/>
          <w:shd w:val="clear" w:color="auto" w:fill="FFFFFF"/>
          <w:lang w:val="en-GB" w:eastAsia="en-GB"/>
        </w:rPr>
        <w:t>Modelling by the </w:t>
      </w:r>
      <w:hyperlink r:id="rId21" w:history="1">
        <w:r w:rsidRPr="00C61984">
          <w:rPr>
            <w:rStyle w:val="Hyperlink"/>
            <w:rFonts w:asciiTheme="minorHAnsi" w:eastAsia="Times New Roman" w:hAnsiTheme="minorHAnsi" w:cs="Segoe UI"/>
            <w:iCs/>
            <w:sz w:val="22"/>
            <w:szCs w:val="22"/>
            <w:shd w:val="clear" w:color="auto" w:fill="FFFFFF"/>
            <w:lang w:val="en-GB" w:eastAsia="en-GB"/>
          </w:rPr>
          <w:t>University of New South Wales</w:t>
        </w:r>
      </w:hyperlink>
      <w:r w:rsidRPr="00C61984">
        <w:rPr>
          <w:rFonts w:asciiTheme="minorHAnsi" w:eastAsia="Times New Roman" w:hAnsiTheme="minorHAnsi" w:cs="Segoe UI"/>
          <w:iCs/>
          <w:color w:val="313131"/>
          <w:sz w:val="22"/>
          <w:szCs w:val="22"/>
          <w:shd w:val="clear" w:color="auto" w:fill="FFFFFF"/>
          <w:lang w:val="en-GB" w:eastAsia="en-GB"/>
        </w:rPr>
        <w:t> suggests that wind generation could supply up to 70% of Australia’s electricity needs, while modelling by </w:t>
      </w:r>
      <w:hyperlink r:id="rId22" w:history="1">
        <w:r w:rsidRPr="00C61984">
          <w:rPr>
            <w:rStyle w:val="Hyperlink"/>
            <w:rFonts w:asciiTheme="minorHAnsi" w:eastAsia="Times New Roman" w:hAnsiTheme="minorHAnsi" w:cs="Segoe UI"/>
            <w:iCs/>
            <w:sz w:val="22"/>
            <w:szCs w:val="22"/>
            <w:shd w:val="clear" w:color="auto" w:fill="FFFFFF"/>
            <w:lang w:val="en-GB" w:eastAsia="en-GB"/>
          </w:rPr>
          <w:t>CSIRO and Energy Networks Australia</w:t>
        </w:r>
      </w:hyperlink>
      <w:r w:rsidRPr="00C61984">
        <w:rPr>
          <w:rFonts w:asciiTheme="minorHAnsi" w:eastAsia="Times New Roman" w:hAnsiTheme="minorHAnsi" w:cs="Segoe UI"/>
          <w:iCs/>
          <w:color w:val="313131"/>
          <w:sz w:val="22"/>
          <w:szCs w:val="22"/>
          <w:shd w:val="clear" w:color="auto" w:fill="FFFFFF"/>
          <w:lang w:val="en-GB" w:eastAsia="en-GB"/>
        </w:rPr>
        <w:t> found that wind and solar could provide nearly all generation in future. UNSW’s analysis, backed up by AEMO’s </w:t>
      </w:r>
      <w:hyperlink r:id="rId23" w:history="1">
        <w:r w:rsidRPr="00C61984">
          <w:rPr>
            <w:rStyle w:val="Hyperlink"/>
            <w:rFonts w:asciiTheme="minorHAnsi" w:eastAsia="Times New Roman" w:hAnsiTheme="minorHAnsi" w:cs="Segoe UI"/>
            <w:iCs/>
            <w:sz w:val="22"/>
            <w:szCs w:val="22"/>
            <w:shd w:val="clear" w:color="auto" w:fill="FFFFFF"/>
            <w:lang w:val="en-GB" w:eastAsia="en-GB"/>
          </w:rPr>
          <w:t>Integrated System Plan</w:t>
        </w:r>
      </w:hyperlink>
      <w:r w:rsidRPr="00C61984">
        <w:rPr>
          <w:rFonts w:asciiTheme="minorHAnsi" w:eastAsia="Times New Roman" w:hAnsiTheme="minorHAnsi" w:cs="Segoe UI"/>
          <w:iCs/>
          <w:color w:val="313131"/>
          <w:sz w:val="22"/>
          <w:szCs w:val="22"/>
          <w:shd w:val="clear" w:color="auto" w:fill="FFFFFF"/>
          <w:lang w:val="en-GB" w:eastAsia="en-GB"/>
        </w:rPr>
        <w:t>, also found that many of the best solar and wind sites in Australia were in remote locations – renewable energy zones, needing new transmission investments to harvest these amazing resources.</w:t>
      </w:r>
    </w:p>
    <w:p w14:paraId="1B798509" w14:textId="77777777" w:rsidR="00ED1AB0" w:rsidRPr="00837126" w:rsidRDefault="00ED1AB0" w:rsidP="00ED1AB0">
      <w:pPr>
        <w:rPr>
          <w:rFonts w:asciiTheme="minorHAnsi" w:eastAsia="Times New Roman" w:hAnsiTheme="minorHAnsi" w:cs="Segoe UI"/>
          <w:iCs/>
          <w:color w:val="313131"/>
          <w:sz w:val="22"/>
          <w:szCs w:val="22"/>
          <w:shd w:val="clear" w:color="auto" w:fill="FFFFFF"/>
          <w:lang w:val="en-GB" w:eastAsia="en-GB"/>
        </w:rPr>
      </w:pPr>
    </w:p>
    <w:p w14:paraId="094769D5" w14:textId="71092DCA" w:rsidR="00ED1AB0" w:rsidRPr="00837126" w:rsidRDefault="00ED1AB0" w:rsidP="00ED1AB0">
      <w:pPr>
        <w:rPr>
          <w:rFonts w:asciiTheme="minorHAnsi" w:eastAsia="Times New Roman" w:hAnsiTheme="minorHAnsi" w:cs="Segoe UI"/>
          <w:iCs/>
          <w:color w:val="313131"/>
          <w:sz w:val="22"/>
          <w:szCs w:val="22"/>
          <w:shd w:val="clear" w:color="auto" w:fill="FFFFFF"/>
          <w:lang w:val="en-GB" w:eastAsia="en-GB"/>
        </w:rPr>
      </w:pPr>
      <w:r w:rsidRPr="00837126">
        <w:rPr>
          <w:rFonts w:asciiTheme="minorHAnsi" w:eastAsia="Times New Roman" w:hAnsiTheme="minorHAnsi" w:cs="Segoe UI"/>
          <w:iCs/>
          <w:color w:val="313131"/>
          <w:sz w:val="22"/>
          <w:szCs w:val="22"/>
          <w:shd w:val="clear" w:color="auto" w:fill="FFFFFF"/>
          <w:lang w:val="en-GB" w:eastAsia="en-GB"/>
        </w:rPr>
        <w:t>A</w:t>
      </w:r>
      <w:r w:rsidR="00C61984">
        <w:rPr>
          <w:rFonts w:asciiTheme="minorHAnsi" w:eastAsia="Times New Roman" w:hAnsiTheme="minorHAnsi" w:cs="Segoe UI"/>
          <w:iCs/>
          <w:color w:val="313131"/>
          <w:sz w:val="22"/>
          <w:szCs w:val="22"/>
          <w:shd w:val="clear" w:color="auto" w:fill="FFFFFF"/>
          <w:lang w:val="en-GB" w:eastAsia="en-GB"/>
        </w:rPr>
        <w:t xml:space="preserve">s such it is critical that </w:t>
      </w:r>
      <w:r w:rsidRPr="00837126">
        <w:rPr>
          <w:rFonts w:asciiTheme="minorHAnsi" w:eastAsia="Times New Roman" w:hAnsiTheme="minorHAnsi" w:cs="Segoe UI"/>
          <w:iCs/>
          <w:color w:val="313131"/>
          <w:sz w:val="22"/>
          <w:szCs w:val="22"/>
          <w:shd w:val="clear" w:color="auto" w:fill="FFFFFF"/>
          <w:lang w:val="en-GB" w:eastAsia="en-GB"/>
        </w:rPr>
        <w:t>transmission grid upgrades in the Renewable Energy Zones (REZ)</w:t>
      </w:r>
      <w:r w:rsidR="00C61984">
        <w:rPr>
          <w:rFonts w:asciiTheme="minorHAnsi" w:eastAsia="Times New Roman" w:hAnsiTheme="minorHAnsi" w:cs="Segoe UI"/>
          <w:iCs/>
          <w:color w:val="313131"/>
          <w:sz w:val="22"/>
          <w:szCs w:val="22"/>
          <w:shd w:val="clear" w:color="auto" w:fill="FFFFFF"/>
          <w:lang w:val="en-GB" w:eastAsia="en-GB"/>
        </w:rPr>
        <w:t xml:space="preserve"> are accelerated in the short term</w:t>
      </w:r>
      <w:r w:rsidRPr="00837126">
        <w:rPr>
          <w:rFonts w:asciiTheme="minorHAnsi" w:eastAsia="Times New Roman" w:hAnsiTheme="minorHAnsi" w:cs="Segoe UI"/>
          <w:iCs/>
          <w:color w:val="313131"/>
          <w:sz w:val="22"/>
          <w:szCs w:val="22"/>
          <w:shd w:val="clear" w:color="auto" w:fill="FFFFFF"/>
          <w:lang w:val="en-GB" w:eastAsia="en-GB"/>
        </w:rPr>
        <w:t xml:space="preserve">. For example, there is currently 4000MW of solar and wind in the pipeline (2000MW with planning approvals and 2000MW in earlier stages) for North West Victoria yet the grid capacity is already constrained. However, these upgrades are not expected to occur until late 2020s. Grid upgrades should potentially be considered as part of broader ‘enabling technologies’ that help to accelerate renewables. </w:t>
      </w:r>
    </w:p>
    <w:p w14:paraId="71F06FDA" w14:textId="77777777" w:rsidR="00ED1AB0" w:rsidRPr="00837126" w:rsidRDefault="00ED1AB0" w:rsidP="00ED1AB0">
      <w:pPr>
        <w:rPr>
          <w:rFonts w:asciiTheme="minorHAnsi" w:eastAsia="Times New Roman" w:hAnsiTheme="minorHAnsi" w:cs="Segoe UI"/>
          <w:iCs/>
          <w:color w:val="313131"/>
          <w:sz w:val="22"/>
          <w:szCs w:val="22"/>
          <w:shd w:val="clear" w:color="auto" w:fill="FFFFFF"/>
          <w:lang w:val="en-GB" w:eastAsia="en-GB"/>
        </w:rPr>
      </w:pPr>
    </w:p>
    <w:p w14:paraId="791AB6F0" w14:textId="5736A3DA" w:rsidR="0069050D" w:rsidRPr="00837126" w:rsidRDefault="00ED1AB0" w:rsidP="00ED1AB0">
      <w:pPr>
        <w:rPr>
          <w:rFonts w:asciiTheme="minorHAnsi" w:eastAsia="Times New Roman" w:hAnsiTheme="minorHAnsi" w:cs="Segoe UI"/>
          <w:iCs/>
          <w:color w:val="313131"/>
          <w:sz w:val="22"/>
          <w:szCs w:val="22"/>
          <w:shd w:val="clear" w:color="auto" w:fill="FFFFFF"/>
          <w:lang w:val="en-GB" w:eastAsia="en-GB"/>
        </w:rPr>
      </w:pPr>
      <w:r w:rsidRPr="00837126">
        <w:rPr>
          <w:rFonts w:asciiTheme="minorHAnsi" w:eastAsia="Times New Roman" w:hAnsiTheme="minorHAnsi" w:cs="Segoe UI"/>
          <w:iCs/>
          <w:color w:val="313131"/>
          <w:sz w:val="22"/>
          <w:szCs w:val="22"/>
          <w:shd w:val="clear" w:color="auto" w:fill="FFFFFF"/>
          <w:lang w:val="en-GB" w:eastAsia="en-GB"/>
        </w:rPr>
        <w:t xml:space="preserve">Goals should be set in the short and medium term to foster greater penetration of large scale wind and solar. It cannot be assumed that the record levels of investment that have occurred in the past 5 years will continue. </w:t>
      </w:r>
    </w:p>
    <w:p w14:paraId="52E05258" w14:textId="77777777" w:rsidR="0069050D" w:rsidRPr="00837126" w:rsidRDefault="0069050D" w:rsidP="0069050D">
      <w:pPr>
        <w:rPr>
          <w:rFonts w:asciiTheme="minorHAnsi" w:eastAsia="Times New Roman" w:hAnsiTheme="minorHAnsi"/>
          <w:sz w:val="22"/>
          <w:szCs w:val="22"/>
          <w:lang w:val="en-GB" w:eastAsia="en-GB"/>
        </w:rPr>
      </w:pPr>
    </w:p>
    <w:p w14:paraId="59F89655" w14:textId="3B8A3379" w:rsidR="0075741C" w:rsidRPr="00837126" w:rsidRDefault="00ED1AB0" w:rsidP="00ED1AB0">
      <w:pPr>
        <w:pStyle w:val="NormalWeb"/>
        <w:numPr>
          <w:ilvl w:val="0"/>
          <w:numId w:val="4"/>
        </w:numPr>
        <w:spacing w:before="0" w:beforeAutospacing="0" w:after="0" w:afterAutospacing="0"/>
        <w:textAlignment w:val="baseline"/>
        <w:rPr>
          <w:rFonts w:asciiTheme="minorHAnsi" w:hAnsiTheme="minorHAnsi" w:cs="Arial"/>
          <w:b/>
          <w:color w:val="000000"/>
          <w:sz w:val="22"/>
          <w:szCs w:val="22"/>
        </w:rPr>
      </w:pPr>
      <w:r w:rsidRPr="00837126">
        <w:rPr>
          <w:rFonts w:asciiTheme="minorHAnsi" w:hAnsiTheme="minorHAnsi" w:cs="Arial"/>
          <w:b/>
          <w:color w:val="000000"/>
          <w:sz w:val="22"/>
          <w:szCs w:val="22"/>
        </w:rPr>
        <w:t>Improvements to the prioritisation framework</w:t>
      </w:r>
    </w:p>
    <w:p w14:paraId="2B473321" w14:textId="77777777" w:rsidR="00ED1AB0" w:rsidRPr="00837126" w:rsidRDefault="00ED1AB0" w:rsidP="00ED1AB0">
      <w:pPr>
        <w:pStyle w:val="NormalWeb"/>
        <w:spacing w:before="0" w:beforeAutospacing="0" w:after="0" w:afterAutospacing="0"/>
        <w:textAlignment w:val="baseline"/>
        <w:rPr>
          <w:rFonts w:asciiTheme="minorHAnsi" w:hAnsiTheme="minorHAnsi" w:cs="Arial"/>
          <w:b/>
          <w:sz w:val="22"/>
          <w:szCs w:val="22"/>
        </w:rPr>
      </w:pPr>
    </w:p>
    <w:p w14:paraId="2747EEAA" w14:textId="29B21585" w:rsidR="00ED1AB0" w:rsidRPr="00837126" w:rsidRDefault="00ED1AB0" w:rsidP="00ED1AB0">
      <w:pPr>
        <w:pStyle w:val="NormalWeb"/>
        <w:spacing w:before="0" w:beforeAutospacing="0" w:after="0" w:afterAutospacing="0"/>
        <w:textAlignment w:val="baseline"/>
        <w:rPr>
          <w:rFonts w:asciiTheme="minorHAnsi" w:hAnsiTheme="minorHAnsi" w:cs="Arial"/>
          <w:sz w:val="22"/>
          <w:szCs w:val="22"/>
        </w:rPr>
      </w:pPr>
      <w:r w:rsidRPr="00837126">
        <w:rPr>
          <w:rFonts w:asciiTheme="minorHAnsi" w:hAnsiTheme="minorHAnsi" w:cs="Arial"/>
          <w:sz w:val="22"/>
          <w:szCs w:val="22"/>
        </w:rPr>
        <w:t xml:space="preserve">We understand the prioritisation framework that will be used to set the technology priorities in the annual statements. </w:t>
      </w:r>
      <w:proofErr w:type="gramStart"/>
      <w:r w:rsidRPr="00837126">
        <w:rPr>
          <w:rFonts w:asciiTheme="minorHAnsi" w:hAnsiTheme="minorHAnsi" w:cs="Arial"/>
          <w:sz w:val="22"/>
          <w:szCs w:val="22"/>
        </w:rPr>
        <w:t>However</w:t>
      </w:r>
      <w:proofErr w:type="gramEnd"/>
      <w:r w:rsidRPr="00837126">
        <w:rPr>
          <w:rFonts w:asciiTheme="minorHAnsi" w:hAnsiTheme="minorHAnsi" w:cs="Arial"/>
          <w:sz w:val="22"/>
          <w:szCs w:val="22"/>
        </w:rPr>
        <w:t xml:space="preserve"> </w:t>
      </w:r>
      <w:r w:rsidR="003F1460">
        <w:rPr>
          <w:rFonts w:asciiTheme="minorHAnsi" w:hAnsiTheme="minorHAnsi" w:cs="Arial"/>
          <w:sz w:val="22"/>
          <w:szCs w:val="22"/>
        </w:rPr>
        <w:t xml:space="preserve">what is </w:t>
      </w:r>
      <w:proofErr w:type="spellStart"/>
      <w:r w:rsidRPr="00837126">
        <w:rPr>
          <w:rFonts w:asciiTheme="minorHAnsi" w:hAnsiTheme="minorHAnsi" w:cs="Arial"/>
          <w:sz w:val="22"/>
          <w:szCs w:val="22"/>
        </w:rPr>
        <w:t>is</w:t>
      </w:r>
      <w:proofErr w:type="spellEnd"/>
      <w:r w:rsidRPr="00837126">
        <w:rPr>
          <w:rFonts w:asciiTheme="minorHAnsi" w:hAnsiTheme="minorHAnsi" w:cs="Arial"/>
          <w:sz w:val="22"/>
          <w:szCs w:val="22"/>
        </w:rPr>
        <w:t xml:space="preserve"> not clear </w:t>
      </w:r>
      <w:r w:rsidR="003F1460">
        <w:rPr>
          <w:rFonts w:asciiTheme="minorHAnsi" w:hAnsiTheme="minorHAnsi" w:cs="Arial"/>
          <w:sz w:val="22"/>
          <w:szCs w:val="22"/>
        </w:rPr>
        <w:t xml:space="preserve">are </w:t>
      </w:r>
      <w:r w:rsidRPr="00837126">
        <w:rPr>
          <w:rFonts w:asciiTheme="minorHAnsi" w:hAnsiTheme="minorHAnsi" w:cs="Arial"/>
          <w:sz w:val="22"/>
          <w:szCs w:val="22"/>
        </w:rPr>
        <w:t>the weightings that each criteria</w:t>
      </w:r>
      <w:r w:rsidR="00B64388">
        <w:rPr>
          <w:rFonts w:asciiTheme="minorHAnsi" w:hAnsiTheme="minorHAnsi" w:cs="Arial"/>
          <w:sz w:val="22"/>
          <w:szCs w:val="22"/>
        </w:rPr>
        <w:t>,</w:t>
      </w:r>
      <w:r w:rsidRPr="00837126">
        <w:rPr>
          <w:rFonts w:asciiTheme="minorHAnsi" w:hAnsiTheme="minorHAnsi" w:cs="Arial"/>
          <w:sz w:val="22"/>
          <w:szCs w:val="22"/>
        </w:rPr>
        <w:t xml:space="preserve"> such as abatement potential</w:t>
      </w:r>
      <w:r w:rsidR="00B64388">
        <w:rPr>
          <w:rFonts w:asciiTheme="minorHAnsi" w:hAnsiTheme="minorHAnsi" w:cs="Arial"/>
          <w:sz w:val="22"/>
          <w:szCs w:val="22"/>
        </w:rPr>
        <w:t>,</w:t>
      </w:r>
      <w:r w:rsidRPr="00837126">
        <w:rPr>
          <w:rFonts w:asciiTheme="minorHAnsi" w:hAnsiTheme="minorHAnsi" w:cs="Arial"/>
          <w:sz w:val="22"/>
          <w:szCs w:val="22"/>
        </w:rPr>
        <w:t xml:space="preserve"> receives compared to </w:t>
      </w:r>
      <w:r w:rsidR="00CB11DF">
        <w:rPr>
          <w:rFonts w:asciiTheme="minorHAnsi" w:hAnsiTheme="minorHAnsi" w:cs="Arial"/>
          <w:sz w:val="22"/>
          <w:szCs w:val="22"/>
        </w:rPr>
        <w:t>an</w:t>
      </w:r>
      <w:r w:rsidRPr="00837126">
        <w:rPr>
          <w:rFonts w:asciiTheme="minorHAnsi" w:hAnsiTheme="minorHAnsi" w:cs="Arial"/>
          <w:sz w:val="22"/>
          <w:szCs w:val="22"/>
        </w:rPr>
        <w:t xml:space="preserve">other criteria. </w:t>
      </w:r>
    </w:p>
    <w:p w14:paraId="47FFB42C" w14:textId="77777777" w:rsidR="00ED1AB0" w:rsidRPr="00837126" w:rsidRDefault="00ED1AB0" w:rsidP="00ED1AB0">
      <w:pPr>
        <w:pStyle w:val="NormalWeb"/>
        <w:spacing w:before="0" w:beforeAutospacing="0" w:after="0" w:afterAutospacing="0"/>
        <w:textAlignment w:val="baseline"/>
        <w:rPr>
          <w:rFonts w:asciiTheme="minorHAnsi" w:hAnsiTheme="minorHAnsi" w:cs="Arial"/>
          <w:sz w:val="22"/>
          <w:szCs w:val="22"/>
        </w:rPr>
      </w:pPr>
    </w:p>
    <w:p w14:paraId="64057BCA" w14:textId="187F7DDD" w:rsidR="00ED1AB0" w:rsidRPr="00837126" w:rsidRDefault="00ED1AB0" w:rsidP="006A606E">
      <w:pPr>
        <w:pStyle w:val="NormalWeb"/>
        <w:spacing w:before="0" w:beforeAutospacing="0" w:after="0" w:afterAutospacing="0"/>
        <w:textAlignment w:val="baseline"/>
        <w:rPr>
          <w:rFonts w:asciiTheme="minorHAnsi" w:hAnsiTheme="minorHAnsi" w:cs="Arial"/>
          <w:color w:val="000000"/>
          <w:sz w:val="22"/>
          <w:szCs w:val="22"/>
        </w:rPr>
      </w:pPr>
      <w:r w:rsidRPr="00837126">
        <w:rPr>
          <w:rFonts w:asciiTheme="minorHAnsi" w:hAnsiTheme="minorHAnsi" w:cs="Arial"/>
          <w:sz w:val="22"/>
          <w:szCs w:val="22"/>
        </w:rPr>
        <w:t xml:space="preserve">In addition to the criteria already identified in the </w:t>
      </w:r>
      <w:r w:rsidR="003F1460">
        <w:rPr>
          <w:rFonts w:asciiTheme="minorHAnsi" w:hAnsiTheme="minorHAnsi" w:cs="Arial"/>
          <w:sz w:val="22"/>
          <w:szCs w:val="22"/>
        </w:rPr>
        <w:t>R</w:t>
      </w:r>
      <w:r w:rsidRPr="00837126">
        <w:rPr>
          <w:rFonts w:asciiTheme="minorHAnsi" w:hAnsiTheme="minorHAnsi" w:cs="Arial"/>
          <w:sz w:val="22"/>
          <w:szCs w:val="22"/>
        </w:rPr>
        <w:t>oadmap</w:t>
      </w:r>
      <w:r w:rsidR="00CB11DF">
        <w:rPr>
          <w:rFonts w:asciiTheme="minorHAnsi" w:hAnsiTheme="minorHAnsi" w:cs="Arial"/>
          <w:sz w:val="22"/>
          <w:szCs w:val="22"/>
        </w:rPr>
        <w:t>,</w:t>
      </w:r>
      <w:r w:rsidRPr="00837126">
        <w:rPr>
          <w:rFonts w:asciiTheme="minorHAnsi" w:hAnsiTheme="minorHAnsi" w:cs="Arial"/>
          <w:sz w:val="22"/>
          <w:szCs w:val="22"/>
        </w:rPr>
        <w:t xml:space="preserve"> we suggest further consideration of cost curves of different technologies, noting that some are forecast to dramatically reduce in coming years, especially with public investments in R&amp;D. Another element should be focused on </w:t>
      </w:r>
      <w:proofErr w:type="spellStart"/>
      <w:r w:rsidRPr="00837126">
        <w:rPr>
          <w:rFonts w:asciiTheme="minorHAnsi" w:hAnsiTheme="minorHAnsi" w:cs="Arial"/>
          <w:sz w:val="22"/>
          <w:szCs w:val="22"/>
        </w:rPr>
        <w:t>investability</w:t>
      </w:r>
      <w:proofErr w:type="spellEnd"/>
      <w:r w:rsidRPr="00837126">
        <w:rPr>
          <w:rFonts w:asciiTheme="minorHAnsi" w:hAnsiTheme="minorHAnsi" w:cs="Arial"/>
          <w:sz w:val="22"/>
          <w:szCs w:val="22"/>
        </w:rPr>
        <w:t xml:space="preserve">, noting that global markets and insurance companies are moving away from fossil fuels including gas and </w:t>
      </w:r>
      <w:r w:rsidR="003F1460">
        <w:rPr>
          <w:rFonts w:asciiTheme="minorHAnsi" w:hAnsiTheme="minorHAnsi" w:cs="Arial"/>
          <w:sz w:val="22"/>
          <w:szCs w:val="22"/>
        </w:rPr>
        <w:t>C</w:t>
      </w:r>
      <w:r w:rsidRPr="00837126">
        <w:rPr>
          <w:rFonts w:asciiTheme="minorHAnsi" w:hAnsiTheme="minorHAnsi" w:cs="Arial"/>
          <w:sz w:val="22"/>
          <w:szCs w:val="22"/>
        </w:rPr>
        <w:t xml:space="preserve">arbon </w:t>
      </w:r>
      <w:r w:rsidR="003F1460">
        <w:rPr>
          <w:rFonts w:asciiTheme="minorHAnsi" w:hAnsiTheme="minorHAnsi" w:cs="Arial"/>
          <w:sz w:val="22"/>
          <w:szCs w:val="22"/>
        </w:rPr>
        <w:t>C</w:t>
      </w:r>
      <w:r w:rsidRPr="00837126">
        <w:rPr>
          <w:rFonts w:asciiTheme="minorHAnsi" w:hAnsiTheme="minorHAnsi" w:cs="Arial"/>
          <w:sz w:val="22"/>
          <w:szCs w:val="22"/>
        </w:rPr>
        <w:t xml:space="preserve">apture and </w:t>
      </w:r>
      <w:r w:rsidR="003F1460">
        <w:rPr>
          <w:rFonts w:asciiTheme="minorHAnsi" w:hAnsiTheme="minorHAnsi" w:cs="Arial"/>
          <w:sz w:val="22"/>
          <w:szCs w:val="22"/>
        </w:rPr>
        <w:t>S</w:t>
      </w:r>
      <w:r w:rsidRPr="00837126">
        <w:rPr>
          <w:rFonts w:asciiTheme="minorHAnsi" w:hAnsiTheme="minorHAnsi" w:cs="Arial"/>
          <w:sz w:val="22"/>
          <w:szCs w:val="22"/>
        </w:rPr>
        <w:t xml:space="preserve">torage (i.e. anything that is not zero emissions). </w:t>
      </w:r>
      <w:r w:rsidR="006B4217" w:rsidRPr="00837126">
        <w:rPr>
          <w:rFonts w:asciiTheme="minorHAnsi" w:hAnsiTheme="minorHAnsi" w:cs="Arial"/>
          <w:sz w:val="22"/>
          <w:szCs w:val="22"/>
        </w:rPr>
        <w:t xml:space="preserve">This will in turn help to ensure that technologies are not supported which may become stranded assets in the next decade or two. </w:t>
      </w:r>
    </w:p>
    <w:p w14:paraId="7B41465B" w14:textId="00923F4B" w:rsidR="0075741C" w:rsidRPr="00837126" w:rsidRDefault="006B4217" w:rsidP="006B4217">
      <w:pPr>
        <w:pStyle w:val="Heading4"/>
        <w:numPr>
          <w:ilvl w:val="0"/>
          <w:numId w:val="4"/>
        </w:numPr>
        <w:shd w:val="clear" w:color="auto" w:fill="FFFFFF"/>
        <w:spacing w:after="120" w:afterAutospacing="0" w:line="276" w:lineRule="auto"/>
        <w:rPr>
          <w:rFonts w:asciiTheme="minorHAnsi" w:hAnsiTheme="minorHAnsi" w:cs="Arial"/>
          <w:sz w:val="22"/>
          <w:szCs w:val="22"/>
        </w:rPr>
      </w:pPr>
      <w:r w:rsidRPr="00837126">
        <w:rPr>
          <w:rFonts w:asciiTheme="minorHAnsi" w:hAnsiTheme="minorHAnsi" w:cs="Arial"/>
          <w:sz w:val="22"/>
          <w:szCs w:val="22"/>
        </w:rPr>
        <w:t>Continue support for the Clean Energy Finance Corporation (CEFC) and the Australian Renewable Energy Agency (ARENA)</w:t>
      </w:r>
    </w:p>
    <w:p w14:paraId="0EA40E41" w14:textId="77777777" w:rsidR="002625AD" w:rsidRPr="00837126" w:rsidRDefault="006B4217" w:rsidP="006B4217">
      <w:pPr>
        <w:pStyle w:val="Heading4"/>
        <w:shd w:val="clear" w:color="auto" w:fill="FFFFFF"/>
        <w:spacing w:after="120" w:afterAutospacing="0" w:line="276" w:lineRule="auto"/>
        <w:rPr>
          <w:rFonts w:asciiTheme="minorHAnsi" w:hAnsiTheme="minorHAnsi" w:cs="Arial"/>
          <w:b w:val="0"/>
          <w:sz w:val="22"/>
          <w:szCs w:val="22"/>
        </w:rPr>
      </w:pPr>
      <w:r w:rsidRPr="00837126">
        <w:rPr>
          <w:rFonts w:asciiTheme="minorHAnsi" w:hAnsiTheme="minorHAnsi" w:cs="Arial"/>
          <w:b w:val="0"/>
          <w:sz w:val="22"/>
          <w:szCs w:val="22"/>
        </w:rPr>
        <w:t xml:space="preserve">The Australian Renewable Energy Agency (ARENA) and the Clean Energy Finance Corporation (CEFC) have achieved significant returns on investment for Australia. We consider that these agencies are best placed to support the ongoing energy transition and should continue to be supported. </w:t>
      </w:r>
    </w:p>
    <w:p w14:paraId="150A328F" w14:textId="1F9258C9" w:rsidR="002625AD" w:rsidRPr="00887BB6" w:rsidRDefault="002625AD" w:rsidP="006B4217">
      <w:pPr>
        <w:pStyle w:val="Heading4"/>
        <w:shd w:val="clear" w:color="auto" w:fill="FFFFFF"/>
        <w:spacing w:after="120" w:line="276" w:lineRule="auto"/>
        <w:rPr>
          <w:rFonts w:asciiTheme="minorHAnsi" w:hAnsiTheme="minorHAnsi" w:cs="Arial"/>
          <w:b w:val="0"/>
          <w:sz w:val="22"/>
          <w:szCs w:val="22"/>
          <w:lang w:val="en-GB"/>
        </w:rPr>
      </w:pPr>
      <w:r w:rsidRPr="00837126">
        <w:rPr>
          <w:rFonts w:asciiTheme="minorHAnsi" w:hAnsiTheme="minorHAnsi" w:cs="Arial"/>
          <w:b w:val="0"/>
          <w:sz w:val="22"/>
          <w:szCs w:val="22"/>
          <w:lang w:val="en-GB"/>
        </w:rPr>
        <w:t>We support expanding ARENA</w:t>
      </w:r>
      <w:r w:rsidR="003F1460">
        <w:rPr>
          <w:rFonts w:asciiTheme="minorHAnsi" w:hAnsiTheme="minorHAnsi" w:cs="Arial"/>
          <w:b w:val="0"/>
          <w:sz w:val="22"/>
          <w:szCs w:val="22"/>
          <w:lang w:val="en-GB"/>
        </w:rPr>
        <w:t>’</w:t>
      </w:r>
      <w:r w:rsidRPr="00837126">
        <w:rPr>
          <w:rFonts w:asciiTheme="minorHAnsi" w:hAnsiTheme="minorHAnsi" w:cs="Arial"/>
          <w:b w:val="0"/>
          <w:sz w:val="22"/>
          <w:szCs w:val="22"/>
          <w:lang w:val="en-GB"/>
        </w:rPr>
        <w:t xml:space="preserve">s remit to include energy efficiency and clean transport, clean industrial technologies. </w:t>
      </w:r>
      <w:r w:rsidR="006B4217" w:rsidRPr="00837126">
        <w:rPr>
          <w:rFonts w:asciiTheme="minorHAnsi" w:hAnsiTheme="minorHAnsi" w:cs="Arial"/>
          <w:b w:val="0"/>
          <w:sz w:val="22"/>
          <w:szCs w:val="22"/>
        </w:rPr>
        <w:t xml:space="preserve">We do not support their remit being revised towards </w:t>
      </w:r>
      <w:r w:rsidR="00061C9A" w:rsidRPr="00837126">
        <w:rPr>
          <w:rFonts w:asciiTheme="minorHAnsi" w:hAnsiTheme="minorHAnsi" w:cs="Arial"/>
          <w:b w:val="0"/>
          <w:sz w:val="22"/>
          <w:szCs w:val="22"/>
        </w:rPr>
        <w:t>‘end of pipe’ solutions for fossil fuel</w:t>
      </w:r>
      <w:r w:rsidR="004544A3" w:rsidRPr="00837126">
        <w:rPr>
          <w:rFonts w:asciiTheme="minorHAnsi" w:hAnsiTheme="minorHAnsi" w:cs="Arial"/>
          <w:b w:val="0"/>
          <w:sz w:val="22"/>
          <w:szCs w:val="22"/>
        </w:rPr>
        <w:t>-</w:t>
      </w:r>
      <w:r w:rsidR="00061C9A" w:rsidRPr="00837126">
        <w:rPr>
          <w:rFonts w:asciiTheme="minorHAnsi" w:hAnsiTheme="minorHAnsi" w:cs="Arial"/>
          <w:b w:val="0"/>
          <w:sz w:val="22"/>
          <w:szCs w:val="22"/>
        </w:rPr>
        <w:t xml:space="preserve">based industries, such as </w:t>
      </w:r>
      <w:r w:rsidR="003F1460">
        <w:rPr>
          <w:rFonts w:asciiTheme="minorHAnsi" w:hAnsiTheme="minorHAnsi" w:cs="Arial"/>
          <w:b w:val="0"/>
          <w:sz w:val="22"/>
          <w:szCs w:val="22"/>
        </w:rPr>
        <w:t>C</w:t>
      </w:r>
      <w:r w:rsidR="00061C9A" w:rsidRPr="00837126">
        <w:rPr>
          <w:rFonts w:asciiTheme="minorHAnsi" w:hAnsiTheme="minorHAnsi" w:cs="Arial"/>
          <w:b w:val="0"/>
          <w:sz w:val="22"/>
          <w:szCs w:val="22"/>
        </w:rPr>
        <w:t xml:space="preserve">arbon </w:t>
      </w:r>
      <w:r w:rsidR="003F1460">
        <w:rPr>
          <w:rFonts w:asciiTheme="minorHAnsi" w:hAnsiTheme="minorHAnsi" w:cs="Arial"/>
          <w:b w:val="0"/>
          <w:sz w:val="22"/>
          <w:szCs w:val="22"/>
        </w:rPr>
        <w:t>C</w:t>
      </w:r>
      <w:r w:rsidR="00061C9A" w:rsidRPr="00837126">
        <w:rPr>
          <w:rFonts w:asciiTheme="minorHAnsi" w:hAnsiTheme="minorHAnsi" w:cs="Arial"/>
          <w:b w:val="0"/>
          <w:sz w:val="22"/>
          <w:szCs w:val="22"/>
        </w:rPr>
        <w:t xml:space="preserve">apture and </w:t>
      </w:r>
      <w:r w:rsidR="003F1460">
        <w:rPr>
          <w:rFonts w:asciiTheme="minorHAnsi" w:hAnsiTheme="minorHAnsi" w:cs="Arial"/>
          <w:b w:val="0"/>
          <w:sz w:val="22"/>
          <w:szCs w:val="22"/>
        </w:rPr>
        <w:t>S</w:t>
      </w:r>
      <w:r w:rsidR="00061C9A" w:rsidRPr="00837126">
        <w:rPr>
          <w:rFonts w:asciiTheme="minorHAnsi" w:hAnsiTheme="minorHAnsi" w:cs="Arial"/>
          <w:b w:val="0"/>
          <w:sz w:val="22"/>
          <w:szCs w:val="22"/>
        </w:rPr>
        <w:t xml:space="preserve">torage.  </w:t>
      </w:r>
      <w:r w:rsidR="00E31945" w:rsidRPr="00837126">
        <w:rPr>
          <w:rFonts w:asciiTheme="minorHAnsi" w:hAnsiTheme="minorHAnsi" w:cs="Arial"/>
          <w:b w:val="0"/>
          <w:sz w:val="22"/>
          <w:szCs w:val="22"/>
        </w:rPr>
        <w:t>Any further investment in</w:t>
      </w:r>
      <w:r w:rsidR="00746373" w:rsidRPr="00837126">
        <w:rPr>
          <w:rFonts w:asciiTheme="minorHAnsi" w:hAnsiTheme="minorHAnsi" w:cs="Arial"/>
          <w:b w:val="0"/>
          <w:sz w:val="22"/>
          <w:szCs w:val="22"/>
        </w:rPr>
        <w:t xml:space="preserve"> emission</w:t>
      </w:r>
      <w:r w:rsidR="003F1460">
        <w:rPr>
          <w:rFonts w:asciiTheme="minorHAnsi" w:hAnsiTheme="minorHAnsi" w:cs="Arial"/>
          <w:b w:val="0"/>
          <w:sz w:val="22"/>
          <w:szCs w:val="22"/>
        </w:rPr>
        <w:t>-</w:t>
      </w:r>
      <w:r w:rsidR="00746373" w:rsidRPr="00837126">
        <w:rPr>
          <w:rFonts w:asciiTheme="minorHAnsi" w:hAnsiTheme="minorHAnsi" w:cs="Arial"/>
          <w:b w:val="0"/>
          <w:sz w:val="22"/>
          <w:szCs w:val="22"/>
        </w:rPr>
        <w:t>intensive in</w:t>
      </w:r>
      <w:r w:rsidR="00E31945" w:rsidRPr="00837126">
        <w:rPr>
          <w:rFonts w:asciiTheme="minorHAnsi" w:hAnsiTheme="minorHAnsi" w:cs="Arial"/>
          <w:b w:val="0"/>
          <w:sz w:val="22"/>
          <w:szCs w:val="22"/>
        </w:rPr>
        <w:t>dustries will only</w:t>
      </w:r>
      <w:r w:rsidR="00746373" w:rsidRPr="00837126">
        <w:rPr>
          <w:rFonts w:asciiTheme="minorHAnsi" w:hAnsiTheme="minorHAnsi" w:cs="Arial"/>
          <w:b w:val="0"/>
          <w:sz w:val="22"/>
          <w:szCs w:val="22"/>
        </w:rPr>
        <w:t xml:space="preserve"> marry further generations to stranded assets and </w:t>
      </w:r>
      <w:r w:rsidR="00B22445" w:rsidRPr="00837126">
        <w:rPr>
          <w:rFonts w:asciiTheme="minorHAnsi" w:hAnsiTheme="minorHAnsi" w:cs="Arial"/>
          <w:b w:val="0"/>
          <w:sz w:val="22"/>
          <w:szCs w:val="22"/>
        </w:rPr>
        <w:t xml:space="preserve">lock consumers into </w:t>
      </w:r>
      <w:r w:rsidR="00746373" w:rsidRPr="00837126">
        <w:rPr>
          <w:rFonts w:asciiTheme="minorHAnsi" w:hAnsiTheme="minorHAnsi" w:cs="Arial"/>
          <w:b w:val="0"/>
          <w:sz w:val="22"/>
          <w:szCs w:val="22"/>
        </w:rPr>
        <w:t xml:space="preserve">dysfunctional markets. </w:t>
      </w:r>
    </w:p>
    <w:p w14:paraId="741C1817" w14:textId="0BE974FF" w:rsidR="00FA0990" w:rsidRPr="00837126" w:rsidRDefault="00FA0990" w:rsidP="00FA0990">
      <w:pPr>
        <w:pStyle w:val="Heading4"/>
        <w:numPr>
          <w:ilvl w:val="0"/>
          <w:numId w:val="4"/>
        </w:numPr>
        <w:shd w:val="clear" w:color="auto" w:fill="FFFFFF"/>
        <w:spacing w:after="120" w:afterAutospacing="0" w:line="276" w:lineRule="auto"/>
        <w:rPr>
          <w:rFonts w:asciiTheme="minorHAnsi" w:hAnsiTheme="minorHAnsi" w:cs="Arial"/>
          <w:sz w:val="22"/>
          <w:szCs w:val="22"/>
        </w:rPr>
      </w:pPr>
      <w:r w:rsidRPr="00837126">
        <w:rPr>
          <w:rFonts w:asciiTheme="minorHAnsi" w:hAnsiTheme="minorHAnsi" w:cs="Arial"/>
          <w:sz w:val="22"/>
          <w:szCs w:val="22"/>
        </w:rPr>
        <w:t xml:space="preserve">Stretch goal of 700% renewable energy </w:t>
      </w:r>
    </w:p>
    <w:p w14:paraId="052C3492" w14:textId="4C64CE3E" w:rsidR="00FA0990" w:rsidRPr="00837126" w:rsidRDefault="00887BB6" w:rsidP="00FA0990">
      <w:pPr>
        <w:pStyle w:val="Heading4"/>
        <w:shd w:val="clear" w:color="auto" w:fill="FFFFFF"/>
        <w:spacing w:after="120" w:afterAutospacing="0" w:line="276" w:lineRule="auto"/>
        <w:rPr>
          <w:rFonts w:asciiTheme="minorHAnsi" w:hAnsiTheme="minorHAnsi" w:cs="Arial"/>
          <w:b w:val="0"/>
          <w:color w:val="000000" w:themeColor="text1"/>
          <w:sz w:val="22"/>
          <w:szCs w:val="22"/>
        </w:rPr>
      </w:pPr>
      <w:r>
        <w:rPr>
          <w:rFonts w:asciiTheme="minorHAnsi" w:hAnsiTheme="minorHAnsi" w:cs="Arial"/>
          <w:b w:val="0"/>
          <w:color w:val="000000" w:themeColor="text1"/>
          <w:sz w:val="22"/>
          <w:szCs w:val="22"/>
        </w:rPr>
        <w:t xml:space="preserve">The Roadmap has requested submissions that relate to ‘stretch goals’ of higher ambition. </w:t>
      </w:r>
      <w:r w:rsidR="00FA0990" w:rsidRPr="00837126">
        <w:rPr>
          <w:rFonts w:asciiTheme="minorHAnsi" w:hAnsiTheme="minorHAnsi" w:cs="Arial"/>
          <w:b w:val="0"/>
          <w:color w:val="000000" w:themeColor="text1"/>
          <w:sz w:val="22"/>
          <w:szCs w:val="22"/>
        </w:rPr>
        <w:t xml:space="preserve">Australia has a unique opportunity to become a significant global exporter of renewable energy. </w:t>
      </w:r>
      <w:r>
        <w:rPr>
          <w:rFonts w:asciiTheme="minorHAnsi" w:hAnsiTheme="minorHAnsi" w:cs="Arial"/>
          <w:b w:val="0"/>
          <w:color w:val="000000" w:themeColor="text1"/>
          <w:sz w:val="22"/>
          <w:szCs w:val="22"/>
        </w:rPr>
        <w:t xml:space="preserve">We consider that a stretch goal of 700% renewable energy should be built into the Roadmap. </w:t>
      </w:r>
      <w:r w:rsidR="00277857">
        <w:rPr>
          <w:rFonts w:asciiTheme="minorHAnsi" w:hAnsiTheme="minorHAnsi" w:cs="Arial"/>
          <w:b w:val="0"/>
          <w:color w:val="000000" w:themeColor="text1"/>
          <w:sz w:val="22"/>
          <w:szCs w:val="22"/>
        </w:rPr>
        <w:t xml:space="preserve">Whilst this is high, it is </w:t>
      </w:r>
      <w:r w:rsidR="005177E2">
        <w:rPr>
          <w:rFonts w:asciiTheme="minorHAnsi" w:hAnsiTheme="minorHAnsi" w:cs="Arial"/>
          <w:b w:val="0"/>
          <w:color w:val="000000" w:themeColor="text1"/>
          <w:sz w:val="22"/>
          <w:szCs w:val="22"/>
        </w:rPr>
        <w:t xml:space="preserve">not unrealistic, given the economic as well as environmental opportunity for Australia, which is why it is </w:t>
      </w:r>
      <w:hyperlink r:id="rId24" w:history="1">
        <w:r w:rsidR="005177E2" w:rsidRPr="005177E2">
          <w:rPr>
            <w:rStyle w:val="Hyperlink"/>
            <w:rFonts w:asciiTheme="minorHAnsi" w:hAnsiTheme="minorHAnsi" w:cs="Arial"/>
            <w:b w:val="0"/>
            <w:sz w:val="22"/>
            <w:szCs w:val="22"/>
          </w:rPr>
          <w:t>supported by experts such as Darren Miller, CEO of ARENA</w:t>
        </w:r>
      </w:hyperlink>
      <w:r w:rsidR="005177E2">
        <w:rPr>
          <w:rFonts w:asciiTheme="minorHAnsi" w:hAnsiTheme="minorHAnsi" w:cs="Arial"/>
          <w:b w:val="0"/>
          <w:color w:val="000000" w:themeColor="text1"/>
          <w:sz w:val="22"/>
          <w:szCs w:val="22"/>
        </w:rPr>
        <w:t>.</w:t>
      </w:r>
      <w:r w:rsidR="005B1CEB">
        <w:rPr>
          <w:rFonts w:asciiTheme="minorHAnsi" w:hAnsiTheme="minorHAnsi" w:cs="Arial"/>
          <w:b w:val="0"/>
          <w:color w:val="000000" w:themeColor="text1"/>
          <w:sz w:val="22"/>
          <w:szCs w:val="22"/>
        </w:rPr>
        <w:t xml:space="preserve"> </w:t>
      </w:r>
      <w:r w:rsidR="003B1F25">
        <w:rPr>
          <w:rFonts w:asciiTheme="minorHAnsi" w:hAnsiTheme="minorHAnsi" w:cs="Arial"/>
          <w:b w:val="0"/>
          <w:color w:val="000000" w:themeColor="text1"/>
          <w:sz w:val="22"/>
          <w:szCs w:val="22"/>
        </w:rPr>
        <w:t xml:space="preserve">With the necessary policy drivers in </w:t>
      </w:r>
      <w:r w:rsidR="006E5089">
        <w:rPr>
          <w:rFonts w:asciiTheme="minorHAnsi" w:hAnsiTheme="minorHAnsi" w:cs="Arial"/>
          <w:b w:val="0"/>
          <w:color w:val="000000" w:themeColor="text1"/>
          <w:sz w:val="22"/>
          <w:szCs w:val="22"/>
        </w:rPr>
        <w:t>places, t</w:t>
      </w:r>
      <w:r w:rsidR="005B1CEB">
        <w:rPr>
          <w:rFonts w:asciiTheme="minorHAnsi" w:hAnsiTheme="minorHAnsi" w:cs="Arial"/>
          <w:b w:val="0"/>
          <w:color w:val="000000" w:themeColor="text1"/>
          <w:sz w:val="22"/>
          <w:szCs w:val="22"/>
        </w:rPr>
        <w:t xml:space="preserve">he </w:t>
      </w:r>
      <w:r w:rsidR="009C09D0">
        <w:rPr>
          <w:rFonts w:asciiTheme="minorHAnsi" w:hAnsiTheme="minorHAnsi" w:cs="Arial"/>
          <w:b w:val="0"/>
          <w:color w:val="000000" w:themeColor="text1"/>
          <w:sz w:val="22"/>
          <w:szCs w:val="22"/>
        </w:rPr>
        <w:t xml:space="preserve">renewable energy </w:t>
      </w:r>
      <w:r w:rsidR="005B1CEB">
        <w:rPr>
          <w:rFonts w:asciiTheme="minorHAnsi" w:hAnsiTheme="minorHAnsi" w:cs="Arial"/>
          <w:b w:val="0"/>
          <w:color w:val="000000" w:themeColor="text1"/>
          <w:sz w:val="22"/>
          <w:szCs w:val="22"/>
        </w:rPr>
        <w:t>industry has proven it is capable of meeting</w:t>
      </w:r>
      <w:r w:rsidR="006E5089">
        <w:rPr>
          <w:rFonts w:asciiTheme="minorHAnsi" w:hAnsiTheme="minorHAnsi" w:cs="Arial"/>
          <w:b w:val="0"/>
          <w:color w:val="000000" w:themeColor="text1"/>
          <w:sz w:val="22"/>
          <w:szCs w:val="22"/>
        </w:rPr>
        <w:t xml:space="preserve"> ambitious </w:t>
      </w:r>
      <w:r w:rsidR="005B1CEB">
        <w:rPr>
          <w:rFonts w:asciiTheme="minorHAnsi" w:hAnsiTheme="minorHAnsi" w:cs="Arial"/>
          <w:b w:val="0"/>
          <w:color w:val="000000" w:themeColor="text1"/>
          <w:sz w:val="22"/>
          <w:szCs w:val="22"/>
        </w:rPr>
        <w:t xml:space="preserve"> </w:t>
      </w:r>
      <w:r w:rsidR="009C09D0">
        <w:rPr>
          <w:rFonts w:asciiTheme="minorHAnsi" w:hAnsiTheme="minorHAnsi" w:cs="Arial"/>
          <w:b w:val="0"/>
          <w:color w:val="000000" w:themeColor="text1"/>
          <w:sz w:val="22"/>
          <w:szCs w:val="22"/>
        </w:rPr>
        <w:t>development targets</w:t>
      </w:r>
    </w:p>
    <w:p w14:paraId="427CFD52" w14:textId="42848C1D" w:rsidR="002625AD" w:rsidRPr="00837126" w:rsidRDefault="002625AD" w:rsidP="00887BB6">
      <w:pPr>
        <w:pStyle w:val="Heading5"/>
        <w:spacing w:before="0" w:after="375"/>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 xml:space="preserve">WWF have recently released </w:t>
      </w:r>
      <w:r w:rsidR="0087070D" w:rsidRPr="00837126">
        <w:rPr>
          <w:rFonts w:asciiTheme="minorHAnsi" w:hAnsiTheme="minorHAnsi" w:cs="Arial"/>
          <w:color w:val="000000" w:themeColor="text1"/>
          <w:sz w:val="22"/>
          <w:szCs w:val="22"/>
        </w:rPr>
        <w:t>a report titled “</w:t>
      </w:r>
      <w:hyperlink r:id="rId25" w:anchor="gs.8oe080" w:history="1">
        <w:r w:rsidR="0087070D" w:rsidRPr="00174D5F">
          <w:rPr>
            <w:rStyle w:val="Hyperlink"/>
            <w:rFonts w:asciiTheme="minorHAnsi" w:eastAsia="Times New Roman" w:hAnsiTheme="minorHAnsi"/>
            <w:bCs/>
            <w:sz w:val="22"/>
            <w:szCs w:val="22"/>
          </w:rPr>
          <w:t>Making Australia a Renewable Export Powerhouse</w:t>
        </w:r>
      </w:hyperlink>
      <w:r w:rsidR="0087070D" w:rsidRPr="00837126">
        <w:rPr>
          <w:rFonts w:asciiTheme="minorHAnsi" w:hAnsiTheme="minorHAnsi" w:cs="Arial"/>
          <w:color w:val="000000" w:themeColor="text1"/>
          <w:sz w:val="22"/>
          <w:szCs w:val="22"/>
        </w:rPr>
        <w:t>”. It recognises Australia</w:t>
      </w:r>
      <w:r w:rsidR="003F1460">
        <w:rPr>
          <w:rFonts w:asciiTheme="minorHAnsi" w:hAnsiTheme="minorHAnsi" w:cs="Arial"/>
          <w:color w:val="000000" w:themeColor="text1"/>
          <w:sz w:val="22"/>
          <w:szCs w:val="22"/>
        </w:rPr>
        <w:t>’</w:t>
      </w:r>
      <w:r w:rsidR="0087070D" w:rsidRPr="00837126">
        <w:rPr>
          <w:rFonts w:asciiTheme="minorHAnsi" w:hAnsiTheme="minorHAnsi" w:cs="Arial"/>
          <w:color w:val="000000" w:themeColor="text1"/>
          <w:sz w:val="22"/>
          <w:szCs w:val="22"/>
        </w:rPr>
        <w:t xml:space="preserve">s enormous export potential particularly in the following areas where Australia has a comparative advantage: </w:t>
      </w:r>
    </w:p>
    <w:p w14:paraId="5237EA1E" w14:textId="77777777" w:rsidR="0087070D" w:rsidRPr="00837126" w:rsidRDefault="0087070D" w:rsidP="0087070D">
      <w:pPr>
        <w:pStyle w:val="NormalWeb"/>
        <w:numPr>
          <w:ilvl w:val="2"/>
          <w:numId w:val="10"/>
        </w:numPr>
        <w:spacing w:before="0" w:beforeAutospacing="0" w:after="0" w:afterAutospacing="0"/>
        <w:ind w:left="426"/>
        <w:textAlignment w:val="baseline"/>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Renewable ammonia</w:t>
      </w:r>
    </w:p>
    <w:p w14:paraId="461D5C29" w14:textId="77777777" w:rsidR="0087070D" w:rsidRPr="00837126" w:rsidRDefault="0087070D" w:rsidP="0087070D">
      <w:pPr>
        <w:pStyle w:val="NormalWeb"/>
        <w:numPr>
          <w:ilvl w:val="2"/>
          <w:numId w:val="10"/>
        </w:numPr>
        <w:spacing w:before="0" w:beforeAutospacing="0" w:after="0" w:afterAutospacing="0"/>
        <w:ind w:left="426"/>
        <w:textAlignment w:val="baseline"/>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Green steel</w:t>
      </w:r>
    </w:p>
    <w:p w14:paraId="6F6573DF" w14:textId="77777777" w:rsidR="0087070D" w:rsidRPr="00837126" w:rsidRDefault="0087070D" w:rsidP="0087070D">
      <w:pPr>
        <w:pStyle w:val="NormalWeb"/>
        <w:numPr>
          <w:ilvl w:val="2"/>
          <w:numId w:val="10"/>
        </w:numPr>
        <w:spacing w:before="0" w:beforeAutospacing="0" w:after="0" w:afterAutospacing="0"/>
        <w:ind w:left="426"/>
        <w:textAlignment w:val="baseline"/>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Batteries</w:t>
      </w:r>
    </w:p>
    <w:p w14:paraId="221B3031" w14:textId="77777777" w:rsidR="0087070D" w:rsidRPr="00837126" w:rsidRDefault="0087070D" w:rsidP="0087070D">
      <w:pPr>
        <w:pStyle w:val="NormalWeb"/>
        <w:numPr>
          <w:ilvl w:val="2"/>
          <w:numId w:val="10"/>
        </w:numPr>
        <w:spacing w:before="0" w:beforeAutospacing="0" w:after="0" w:afterAutospacing="0"/>
        <w:ind w:left="426"/>
        <w:textAlignment w:val="baseline"/>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Knowledge/expertise in the transition</w:t>
      </w:r>
    </w:p>
    <w:p w14:paraId="08149D26" w14:textId="77777777" w:rsidR="0087070D" w:rsidRPr="00837126" w:rsidRDefault="0087070D" w:rsidP="0087070D">
      <w:pPr>
        <w:pStyle w:val="NormalWeb"/>
        <w:numPr>
          <w:ilvl w:val="2"/>
          <w:numId w:val="10"/>
        </w:numPr>
        <w:spacing w:before="0" w:beforeAutospacing="0" w:after="0" w:afterAutospacing="0"/>
        <w:ind w:left="426"/>
        <w:textAlignment w:val="baseline"/>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Aluminium</w:t>
      </w:r>
    </w:p>
    <w:p w14:paraId="19DD6A03" w14:textId="77777777" w:rsidR="0087070D" w:rsidRPr="00837126" w:rsidRDefault="0087070D" w:rsidP="0087070D">
      <w:pPr>
        <w:pStyle w:val="NormalWeb"/>
        <w:numPr>
          <w:ilvl w:val="2"/>
          <w:numId w:val="10"/>
        </w:numPr>
        <w:spacing w:before="0" w:beforeAutospacing="0" w:after="0" w:afterAutospacing="0"/>
        <w:ind w:left="426"/>
        <w:textAlignment w:val="baseline"/>
        <w:rPr>
          <w:rFonts w:asciiTheme="minorHAnsi" w:hAnsiTheme="minorHAnsi" w:cs="Arial"/>
          <w:color w:val="000000" w:themeColor="text1"/>
          <w:sz w:val="22"/>
          <w:szCs w:val="22"/>
        </w:rPr>
      </w:pPr>
      <w:r w:rsidRPr="00837126">
        <w:rPr>
          <w:rFonts w:asciiTheme="minorHAnsi" w:hAnsiTheme="minorHAnsi" w:cs="Arial"/>
          <w:color w:val="000000" w:themeColor="text1"/>
          <w:sz w:val="22"/>
          <w:szCs w:val="22"/>
        </w:rPr>
        <w:t>Technology/software for things like microgrids, DSR</w:t>
      </w:r>
    </w:p>
    <w:p w14:paraId="5F02C772" w14:textId="05C8F789" w:rsidR="0087070D" w:rsidRPr="00837126" w:rsidRDefault="0087070D" w:rsidP="00FA0990">
      <w:pPr>
        <w:pStyle w:val="Heading4"/>
        <w:shd w:val="clear" w:color="auto" w:fill="FFFFFF"/>
        <w:spacing w:after="120" w:afterAutospacing="0" w:line="276" w:lineRule="auto"/>
        <w:rPr>
          <w:rFonts w:asciiTheme="minorHAnsi" w:hAnsiTheme="minorHAnsi" w:cs="Arial"/>
          <w:b w:val="0"/>
          <w:sz w:val="22"/>
          <w:szCs w:val="22"/>
        </w:rPr>
      </w:pPr>
      <w:r w:rsidRPr="00837126">
        <w:rPr>
          <w:rFonts w:asciiTheme="minorHAnsi" w:hAnsiTheme="minorHAnsi" w:cs="Arial"/>
          <w:b w:val="0"/>
          <w:sz w:val="22"/>
          <w:szCs w:val="22"/>
        </w:rPr>
        <w:lastRenderedPageBreak/>
        <w:t xml:space="preserve">A fully costed renewable exports plan should be developed as a priority. </w:t>
      </w:r>
    </w:p>
    <w:p w14:paraId="08AA5B73" w14:textId="47DF66BC" w:rsidR="0087070D" w:rsidRPr="00837126" w:rsidRDefault="0087070D" w:rsidP="0087070D">
      <w:pPr>
        <w:pStyle w:val="Heading4"/>
        <w:numPr>
          <w:ilvl w:val="0"/>
          <w:numId w:val="11"/>
        </w:numPr>
        <w:shd w:val="clear" w:color="auto" w:fill="FFFFFF"/>
        <w:spacing w:after="120" w:afterAutospacing="0" w:line="276" w:lineRule="auto"/>
        <w:rPr>
          <w:rFonts w:asciiTheme="minorHAnsi" w:hAnsiTheme="minorHAnsi" w:cs="Arial"/>
          <w:sz w:val="22"/>
          <w:szCs w:val="22"/>
        </w:rPr>
      </w:pPr>
      <w:r w:rsidRPr="00837126">
        <w:rPr>
          <w:rFonts w:asciiTheme="minorHAnsi" w:hAnsiTheme="minorHAnsi" w:cs="Arial"/>
          <w:sz w:val="22"/>
          <w:szCs w:val="22"/>
        </w:rPr>
        <w:t>Supporting jobs and training</w:t>
      </w:r>
    </w:p>
    <w:p w14:paraId="4DAC2FA7" w14:textId="5CE9E152" w:rsidR="00FA0990" w:rsidRPr="00837126" w:rsidRDefault="0087070D" w:rsidP="00FA0990">
      <w:pPr>
        <w:pStyle w:val="Heading4"/>
        <w:shd w:val="clear" w:color="auto" w:fill="FFFFFF"/>
        <w:spacing w:after="120" w:afterAutospacing="0" w:line="276" w:lineRule="auto"/>
        <w:rPr>
          <w:rFonts w:asciiTheme="minorHAnsi" w:hAnsiTheme="minorHAnsi" w:cs="Arial"/>
          <w:b w:val="0"/>
          <w:sz w:val="22"/>
          <w:szCs w:val="22"/>
        </w:rPr>
      </w:pPr>
      <w:r w:rsidRPr="00837126">
        <w:rPr>
          <w:rFonts w:asciiTheme="minorHAnsi" w:hAnsiTheme="minorHAnsi" w:cs="Arial"/>
          <w:b w:val="0"/>
          <w:sz w:val="22"/>
          <w:szCs w:val="22"/>
        </w:rPr>
        <w:t xml:space="preserve">Realising Australia’s zero emissions future will require new jobs and new skills. </w:t>
      </w:r>
      <w:hyperlink r:id="rId26" w:history="1">
        <w:r w:rsidRPr="00174D5F">
          <w:rPr>
            <w:rStyle w:val="Hyperlink"/>
            <w:rFonts w:asciiTheme="minorHAnsi" w:hAnsiTheme="minorHAnsi" w:cs="Arial"/>
            <w:b w:val="0"/>
            <w:sz w:val="22"/>
            <w:szCs w:val="22"/>
          </w:rPr>
          <w:t xml:space="preserve">A </w:t>
        </w:r>
        <w:r w:rsidR="00174D5F">
          <w:rPr>
            <w:rStyle w:val="Hyperlink"/>
            <w:rFonts w:asciiTheme="minorHAnsi" w:hAnsiTheme="minorHAnsi" w:cs="Arial"/>
            <w:b w:val="0"/>
            <w:sz w:val="22"/>
            <w:szCs w:val="22"/>
          </w:rPr>
          <w:t xml:space="preserve">recent </w:t>
        </w:r>
        <w:r w:rsidRPr="00174D5F">
          <w:rPr>
            <w:rStyle w:val="Hyperlink"/>
            <w:rFonts w:asciiTheme="minorHAnsi" w:hAnsiTheme="minorHAnsi" w:cs="Arial"/>
            <w:b w:val="0"/>
            <w:sz w:val="22"/>
            <w:szCs w:val="22"/>
          </w:rPr>
          <w:t>report</w:t>
        </w:r>
      </w:hyperlink>
      <w:r w:rsidRPr="00837126">
        <w:rPr>
          <w:rFonts w:asciiTheme="minorHAnsi" w:hAnsiTheme="minorHAnsi" w:cs="Arial"/>
          <w:b w:val="0"/>
          <w:sz w:val="22"/>
          <w:szCs w:val="22"/>
        </w:rPr>
        <w:t xml:space="preserve"> released by the </w:t>
      </w:r>
      <w:r w:rsidR="00D93C27" w:rsidRPr="00837126">
        <w:rPr>
          <w:rFonts w:asciiTheme="minorHAnsi" w:hAnsiTheme="minorHAnsi" w:cs="Arial"/>
          <w:b w:val="0"/>
          <w:sz w:val="22"/>
          <w:szCs w:val="22"/>
        </w:rPr>
        <w:t xml:space="preserve">Clean Energy Council demonstrates the opportunity from tripling large scale wind and solar. The report identifies that such an ambition could deliver &gt;50,000 direct construction jobs and 4000 ongoing jobs, inject $50 billion into the Australian economy and significantly benefit regional Australia. Similarly, Beyond Zero Emissions have recently released their </w:t>
      </w:r>
      <w:hyperlink r:id="rId27" w:history="1">
        <w:r w:rsidR="00D93C27" w:rsidRPr="00174D5F">
          <w:rPr>
            <w:rStyle w:val="Hyperlink"/>
            <w:rFonts w:asciiTheme="minorHAnsi" w:hAnsiTheme="minorHAnsi" w:cs="Arial"/>
            <w:b w:val="0"/>
            <w:sz w:val="22"/>
            <w:szCs w:val="22"/>
          </w:rPr>
          <w:t>1 million jobs plan</w:t>
        </w:r>
      </w:hyperlink>
      <w:r w:rsidR="00D93C27" w:rsidRPr="00837126">
        <w:rPr>
          <w:rFonts w:asciiTheme="minorHAnsi" w:hAnsiTheme="minorHAnsi" w:cs="Arial"/>
          <w:b w:val="0"/>
          <w:sz w:val="22"/>
          <w:szCs w:val="22"/>
        </w:rPr>
        <w:t xml:space="preserve">, which also identifies the significant levels of economic benefits and employment opportunities from boosting investment in renewable energy. </w:t>
      </w:r>
    </w:p>
    <w:p w14:paraId="466AAF04" w14:textId="77777777" w:rsidR="00837126" w:rsidRPr="00837126" w:rsidRDefault="00D93C27" w:rsidP="00837126">
      <w:pPr>
        <w:rPr>
          <w:rFonts w:asciiTheme="minorHAnsi" w:eastAsia="Times New Roman" w:hAnsiTheme="minorHAnsi"/>
          <w:sz w:val="22"/>
          <w:szCs w:val="22"/>
          <w:lang w:val="en-GB" w:eastAsia="en-GB"/>
        </w:rPr>
      </w:pPr>
      <w:r w:rsidRPr="00837126">
        <w:rPr>
          <w:rFonts w:asciiTheme="minorHAnsi" w:hAnsiTheme="minorHAnsi" w:cs="Arial"/>
          <w:sz w:val="22"/>
          <w:szCs w:val="22"/>
        </w:rPr>
        <w:t xml:space="preserve">To support this, it is critical that the training sector is ready to support these future jobs. </w:t>
      </w:r>
      <w:r w:rsidR="00837126" w:rsidRPr="00837126">
        <w:rPr>
          <w:rFonts w:asciiTheme="minorHAnsi" w:eastAsia="Times New Roman" w:hAnsiTheme="minorHAnsi"/>
          <w:sz w:val="22"/>
          <w:szCs w:val="22"/>
          <w:lang w:val="en-GB" w:eastAsia="en-GB"/>
        </w:rPr>
        <w:t>This may involve engaging with the business sector to identify opportunities for training and skills development, and raising awareness about the skills and capabilities the industry requires. Industry associations may be able to promote open tenders and opportunities to supply services to projects when they are announced, as well as liaise with developers to identify project needs and communicate these to local suppliers.</w:t>
      </w:r>
    </w:p>
    <w:p w14:paraId="231A0983" w14:textId="6A2DB096" w:rsidR="00D93C27" w:rsidRPr="00837126" w:rsidRDefault="00D93C27" w:rsidP="00FA0990">
      <w:pPr>
        <w:pStyle w:val="Heading4"/>
        <w:shd w:val="clear" w:color="auto" w:fill="FFFFFF"/>
        <w:spacing w:after="120" w:afterAutospacing="0" w:line="276" w:lineRule="auto"/>
        <w:rPr>
          <w:rFonts w:asciiTheme="minorHAnsi" w:hAnsiTheme="minorHAnsi" w:cs="Arial"/>
          <w:b w:val="0"/>
          <w:sz w:val="22"/>
          <w:szCs w:val="22"/>
        </w:rPr>
      </w:pPr>
    </w:p>
    <w:p w14:paraId="43D55514" w14:textId="30A8E812" w:rsidR="00D93C27" w:rsidRPr="00815A7F" w:rsidRDefault="00887BB6" w:rsidP="00FA0990">
      <w:pPr>
        <w:pStyle w:val="Heading4"/>
        <w:shd w:val="clear" w:color="auto" w:fill="FFFFFF"/>
        <w:spacing w:after="120" w:afterAutospacing="0" w:line="276" w:lineRule="auto"/>
        <w:rPr>
          <w:rFonts w:ascii="Arial" w:hAnsi="Arial" w:cs="Arial"/>
          <w:b w:val="0"/>
          <w:sz w:val="20"/>
          <w:szCs w:val="20"/>
        </w:rPr>
      </w:pPr>
      <w:r>
        <w:rPr>
          <w:rFonts w:ascii="Arial" w:hAnsi="Arial" w:cs="Arial"/>
          <w:b w:val="0"/>
          <w:sz w:val="20"/>
          <w:szCs w:val="20"/>
        </w:rPr>
        <w:t xml:space="preserve">Thank you for the opportunity to make a submission to the Low Emissions Technology Roadmap Discussion Paper. </w:t>
      </w:r>
    </w:p>
    <w:p w14:paraId="782940DE" w14:textId="799E48F2" w:rsidR="006C27F9" w:rsidRDefault="00CD2CCF" w:rsidP="00A361F5">
      <w:pPr>
        <w:spacing w:after="240" w:line="276" w:lineRule="auto"/>
        <w:rPr>
          <w:rFonts w:ascii="Arial" w:eastAsia="Gulim" w:hAnsi="Arial" w:cs="Arial"/>
          <w:sz w:val="20"/>
          <w:szCs w:val="20"/>
          <w:lang w:eastAsia="en-AU"/>
        </w:rPr>
      </w:pPr>
      <w:r>
        <w:rPr>
          <w:rFonts w:ascii="Arial" w:eastAsia="Gulim" w:hAnsi="Arial" w:cs="Arial"/>
          <w:sz w:val="20"/>
          <w:szCs w:val="20"/>
          <w:lang w:eastAsia="en-AU"/>
        </w:rPr>
        <w:t>If you have any questions or</w:t>
      </w:r>
      <w:r w:rsidR="00A361F5" w:rsidRPr="00A361F5">
        <w:rPr>
          <w:rFonts w:ascii="Arial" w:eastAsia="Gulim" w:hAnsi="Arial" w:cs="Arial"/>
          <w:sz w:val="20"/>
          <w:szCs w:val="20"/>
          <w:lang w:eastAsia="en-AU"/>
        </w:rPr>
        <w:t xml:space="preserve"> que</w:t>
      </w:r>
      <w:r w:rsidR="00ED5D50">
        <w:rPr>
          <w:rFonts w:ascii="Arial" w:eastAsia="Gulim" w:hAnsi="Arial" w:cs="Arial"/>
          <w:sz w:val="20"/>
          <w:szCs w:val="20"/>
          <w:lang w:eastAsia="en-AU"/>
        </w:rPr>
        <w:t>ries relating to this letter</w:t>
      </w:r>
      <w:r w:rsidR="00A361F5" w:rsidRPr="00A361F5">
        <w:rPr>
          <w:rFonts w:ascii="Arial" w:eastAsia="Gulim" w:hAnsi="Arial" w:cs="Arial"/>
          <w:sz w:val="20"/>
          <w:szCs w:val="20"/>
          <w:lang w:eastAsia="en-AU"/>
        </w:rPr>
        <w:t>, please contact</w:t>
      </w:r>
      <w:r w:rsidR="009B5959">
        <w:rPr>
          <w:rFonts w:ascii="Arial" w:eastAsia="Gulim" w:hAnsi="Arial" w:cs="Arial"/>
          <w:sz w:val="20"/>
          <w:szCs w:val="20"/>
          <w:lang w:eastAsia="en-AU"/>
        </w:rPr>
        <w:t>:</w:t>
      </w:r>
      <w:r w:rsidR="00A361F5" w:rsidRPr="00A361F5">
        <w:rPr>
          <w:rFonts w:ascii="Arial" w:eastAsia="Gulim" w:hAnsi="Arial" w:cs="Arial"/>
          <w:sz w:val="20"/>
          <w:szCs w:val="20"/>
          <w:lang w:eastAsia="en-AU"/>
        </w:rPr>
        <w:t xml:space="preserve"> </w:t>
      </w:r>
    </w:p>
    <w:p w14:paraId="3F433F58" w14:textId="73D3B8E5"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Rob Law, Executive Officer, Central Victorian Greenhouse Alliance (CVGA) | email eo@cvga.org.au </w:t>
      </w:r>
    </w:p>
    <w:p w14:paraId="5DD0587D" w14:textId="77777777"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Scott McKenry, Executive Officer, Eastern Alliance for Greenhouse Action (EAGA) | email scott.mckenry@maroondah.vic.gov.au </w:t>
      </w:r>
    </w:p>
    <w:p w14:paraId="77AE549D" w14:textId="77777777"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Bronwyn Chapman, Executive Officer, Goulburn Broken Greenhouse Alliance (GBGA) | email eo@gbga.com.au </w:t>
      </w:r>
    </w:p>
    <w:p w14:paraId="38F5EF9A" w14:textId="63675C3B"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Dominique La Fontaine, Executive Officer, South East Councils Climate Change Alliance (SECCA) | email dlafontaine@secca.org.au </w:t>
      </w:r>
    </w:p>
    <w:p w14:paraId="693F21B0" w14:textId="2E371FB8"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David Meiklejohn, Executive Officer, Northern Alliance for Greenhouse Action (NAGA) | email david@naga.org.au </w:t>
      </w:r>
    </w:p>
    <w:p w14:paraId="2AD65F0C" w14:textId="10291660"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Fran MacDonald, Executive Officer, Western Alliance for Greenhouse Action (WAGA) | email franm@brimbank.vic.gov.au </w:t>
      </w:r>
    </w:p>
    <w:p w14:paraId="363C9340" w14:textId="35FC4B02" w:rsidR="006C27F9" w:rsidRPr="006C27F9" w:rsidRDefault="006C27F9" w:rsidP="006C27F9">
      <w:pPr>
        <w:pStyle w:val="Heading4"/>
        <w:numPr>
          <w:ilvl w:val="0"/>
          <w:numId w:val="2"/>
        </w:numPr>
        <w:shd w:val="clear" w:color="auto" w:fill="FFFFFF"/>
        <w:spacing w:after="120" w:afterAutospacing="0" w:line="276" w:lineRule="auto"/>
        <w:ind w:left="709"/>
        <w:rPr>
          <w:rFonts w:ascii="Arial" w:hAnsi="Arial" w:cs="Arial"/>
          <w:b w:val="0"/>
          <w:sz w:val="20"/>
          <w:szCs w:val="20"/>
        </w:rPr>
      </w:pPr>
      <w:r w:rsidRPr="006C27F9">
        <w:rPr>
          <w:rFonts w:ascii="Arial" w:hAnsi="Arial" w:cs="Arial"/>
          <w:b w:val="0"/>
          <w:sz w:val="20"/>
          <w:szCs w:val="20"/>
        </w:rPr>
        <w:t xml:space="preserve">Ian Southall, Executive Officer, Gippsland Climate Change Network (GCCN) | email ecohub1951@gmail.com </w:t>
      </w:r>
    </w:p>
    <w:p w14:paraId="2876D6FF" w14:textId="59643057" w:rsidR="00A361F5" w:rsidRPr="00A361F5" w:rsidRDefault="00A361F5" w:rsidP="00A361F5">
      <w:pPr>
        <w:spacing w:after="240" w:line="276" w:lineRule="auto"/>
        <w:rPr>
          <w:rFonts w:ascii="Arial" w:eastAsia="Gulim" w:hAnsi="Arial" w:cs="Arial"/>
          <w:sz w:val="20"/>
          <w:szCs w:val="20"/>
          <w:lang w:eastAsia="en-AU"/>
        </w:rPr>
      </w:pPr>
      <w:r w:rsidRPr="00A361F5">
        <w:rPr>
          <w:rFonts w:ascii="Arial" w:eastAsia="Gulim" w:hAnsi="Arial" w:cs="Arial"/>
          <w:sz w:val="20"/>
          <w:szCs w:val="20"/>
          <w:lang w:eastAsia="en-AU"/>
        </w:rPr>
        <w:t xml:space="preserve"> </w:t>
      </w:r>
    </w:p>
    <w:p w14:paraId="599E312F" w14:textId="371766C9" w:rsidR="00A361F5" w:rsidRDefault="00A361F5" w:rsidP="005A79AA">
      <w:pPr>
        <w:rPr>
          <w:rFonts w:ascii="Arial" w:eastAsia="Gulim" w:hAnsi="Arial" w:cs="Arial"/>
          <w:sz w:val="20"/>
          <w:szCs w:val="20"/>
        </w:rPr>
      </w:pPr>
    </w:p>
    <w:sectPr w:rsidR="00A361F5">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5290" w16cex:dateUtc="2020-06-16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49B3DD" w16cid:durableId="22934E9C"/>
  <w16cid:commentId w16cid:paraId="453E4394" w16cid:durableId="229352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8354" w14:textId="77777777" w:rsidR="009A0C04" w:rsidRDefault="009A0C04" w:rsidP="002D649B">
      <w:r>
        <w:separator/>
      </w:r>
    </w:p>
  </w:endnote>
  <w:endnote w:type="continuationSeparator" w:id="0">
    <w:p w14:paraId="43206C97" w14:textId="77777777" w:rsidR="009A0C04" w:rsidRDefault="009A0C04" w:rsidP="002D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 w:name="Microsoft New Tai Lue">
    <w:panose1 w:val="020B0502040204020203"/>
    <w:charset w:val="00"/>
    <w:family w:val="auto"/>
    <w:pitch w:val="variable"/>
    <w:sig w:usb0="00000003" w:usb1="00000000" w:usb2="80000000" w:usb3="00000000" w:csb0="0000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94E5" w14:textId="77777777" w:rsidR="008F2AA5" w:rsidRDefault="008F2A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35D7" w14:textId="77777777" w:rsidR="008F2AA5" w:rsidRDefault="008F2A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B71F" w14:textId="77777777" w:rsidR="008F2AA5" w:rsidRDefault="008F2A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AC20" w14:textId="77777777" w:rsidR="009A0C04" w:rsidRDefault="009A0C04" w:rsidP="002D649B">
      <w:r>
        <w:separator/>
      </w:r>
    </w:p>
  </w:footnote>
  <w:footnote w:type="continuationSeparator" w:id="0">
    <w:p w14:paraId="6427DBC5" w14:textId="77777777" w:rsidR="009A0C04" w:rsidRDefault="009A0C04" w:rsidP="002D649B">
      <w:r>
        <w:continuationSeparator/>
      </w:r>
    </w:p>
  </w:footnote>
  <w:footnote w:id="1">
    <w:p w14:paraId="4851BA56" w14:textId="77777777" w:rsidR="008853C3" w:rsidRDefault="008853C3" w:rsidP="008853C3">
      <w:pPr>
        <w:pStyle w:val="FootnoteText"/>
      </w:pPr>
      <w:r>
        <w:rPr>
          <w:rStyle w:val="FootnoteReference"/>
        </w:rPr>
        <w:footnoteRef/>
      </w:r>
      <w:r>
        <w:t xml:space="preserve"> </w:t>
      </w:r>
      <w:r w:rsidRPr="00814A25">
        <w:rPr>
          <w:rFonts w:ascii="Arial" w:hAnsi="Arial" w:cs="Arial"/>
          <w:sz w:val="16"/>
          <w:szCs w:val="16"/>
        </w:rPr>
        <w:t>https://www.abc.net.au/news/2020-05-21/leaked-national-covid-commission-gas-manufacturing-report/12269100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704D" w14:textId="77777777" w:rsidR="008F2AA5" w:rsidRDefault="008F2A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BEE1" w14:textId="13C2F204" w:rsidR="008F2AA5" w:rsidRDefault="008F2A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D74E" w14:textId="77777777" w:rsidR="008F2AA5" w:rsidRDefault="008F2A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6A10"/>
    <w:multiLevelType w:val="hybridMultilevel"/>
    <w:tmpl w:val="7FA676F2"/>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
    <w:nsid w:val="245D4EB8"/>
    <w:multiLevelType w:val="multilevel"/>
    <w:tmpl w:val="7B2E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767D3"/>
    <w:multiLevelType w:val="hybridMultilevel"/>
    <w:tmpl w:val="AEC2D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2A64CF"/>
    <w:multiLevelType w:val="multilevel"/>
    <w:tmpl w:val="34C25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977A1"/>
    <w:multiLevelType w:val="multilevel"/>
    <w:tmpl w:val="65B0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7743B"/>
    <w:multiLevelType w:val="hybridMultilevel"/>
    <w:tmpl w:val="9EF6D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CB6A0D"/>
    <w:multiLevelType w:val="multilevel"/>
    <w:tmpl w:val="63D8D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74DDC"/>
    <w:multiLevelType w:val="multilevel"/>
    <w:tmpl w:val="5A18D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40581"/>
    <w:multiLevelType w:val="hybridMultilevel"/>
    <w:tmpl w:val="C666B2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634CDE"/>
    <w:multiLevelType w:val="multilevel"/>
    <w:tmpl w:val="447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1350F"/>
    <w:multiLevelType w:val="hybridMultilevel"/>
    <w:tmpl w:val="A6D48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B50B96"/>
    <w:multiLevelType w:val="multilevel"/>
    <w:tmpl w:val="52D8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0"/>
  </w:num>
  <w:num w:numId="5">
    <w:abstractNumId w:val="9"/>
  </w:num>
  <w:num w:numId="6">
    <w:abstractNumId w:val="1"/>
  </w:num>
  <w:num w:numId="7">
    <w:abstractNumId w:val="4"/>
  </w:num>
  <w:num w:numId="8">
    <w:abstractNumId w:val="3"/>
  </w:num>
  <w:num w:numId="9">
    <w:abstractNumId w:val="7"/>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4C"/>
    <w:rsid w:val="00000780"/>
    <w:rsid w:val="00012FBA"/>
    <w:rsid w:val="00022A2B"/>
    <w:rsid w:val="00031A77"/>
    <w:rsid w:val="00032C13"/>
    <w:rsid w:val="00061C9A"/>
    <w:rsid w:val="0008631A"/>
    <w:rsid w:val="000875AB"/>
    <w:rsid w:val="00095F36"/>
    <w:rsid w:val="000A3EEC"/>
    <w:rsid w:val="000C32F9"/>
    <w:rsid w:val="000D0E68"/>
    <w:rsid w:val="000E1B46"/>
    <w:rsid w:val="000E1E4C"/>
    <w:rsid w:val="000F2229"/>
    <w:rsid w:val="001148C5"/>
    <w:rsid w:val="0012775F"/>
    <w:rsid w:val="001331F3"/>
    <w:rsid w:val="00141C3B"/>
    <w:rsid w:val="00161FA0"/>
    <w:rsid w:val="00174D5F"/>
    <w:rsid w:val="00195DAE"/>
    <w:rsid w:val="001B42DC"/>
    <w:rsid w:val="001D4A3B"/>
    <w:rsid w:val="002625AD"/>
    <w:rsid w:val="00277857"/>
    <w:rsid w:val="0029125D"/>
    <w:rsid w:val="002A1BCB"/>
    <w:rsid w:val="002A4BA2"/>
    <w:rsid w:val="002C0901"/>
    <w:rsid w:val="002C1A05"/>
    <w:rsid w:val="002C7C5A"/>
    <w:rsid w:val="002D5FD9"/>
    <w:rsid w:val="002D649B"/>
    <w:rsid w:val="00306C14"/>
    <w:rsid w:val="00307DC2"/>
    <w:rsid w:val="0031304C"/>
    <w:rsid w:val="00355941"/>
    <w:rsid w:val="003634EE"/>
    <w:rsid w:val="00392948"/>
    <w:rsid w:val="003A3E68"/>
    <w:rsid w:val="003A762C"/>
    <w:rsid w:val="003B1F25"/>
    <w:rsid w:val="003C2EBE"/>
    <w:rsid w:val="003C6312"/>
    <w:rsid w:val="003E7A2E"/>
    <w:rsid w:val="003F1460"/>
    <w:rsid w:val="00404711"/>
    <w:rsid w:val="00436C8F"/>
    <w:rsid w:val="00441E92"/>
    <w:rsid w:val="00444E66"/>
    <w:rsid w:val="004544A3"/>
    <w:rsid w:val="00463485"/>
    <w:rsid w:val="0046762E"/>
    <w:rsid w:val="0048101C"/>
    <w:rsid w:val="004977DE"/>
    <w:rsid w:val="004C3526"/>
    <w:rsid w:val="005047FB"/>
    <w:rsid w:val="005177E2"/>
    <w:rsid w:val="00524651"/>
    <w:rsid w:val="00527502"/>
    <w:rsid w:val="00551C57"/>
    <w:rsid w:val="005762FE"/>
    <w:rsid w:val="005A3C68"/>
    <w:rsid w:val="005A40D1"/>
    <w:rsid w:val="005A59C9"/>
    <w:rsid w:val="005A79AA"/>
    <w:rsid w:val="005B1CEB"/>
    <w:rsid w:val="005C562E"/>
    <w:rsid w:val="005C7DA6"/>
    <w:rsid w:val="005F7468"/>
    <w:rsid w:val="0061130E"/>
    <w:rsid w:val="00624E97"/>
    <w:rsid w:val="0062534C"/>
    <w:rsid w:val="00627953"/>
    <w:rsid w:val="00645065"/>
    <w:rsid w:val="006508A1"/>
    <w:rsid w:val="00650B07"/>
    <w:rsid w:val="00667876"/>
    <w:rsid w:val="00670F03"/>
    <w:rsid w:val="00672052"/>
    <w:rsid w:val="0069050D"/>
    <w:rsid w:val="006A606E"/>
    <w:rsid w:val="006A66D1"/>
    <w:rsid w:val="006B4217"/>
    <w:rsid w:val="006C1341"/>
    <w:rsid w:val="006C17B7"/>
    <w:rsid w:val="006C27F9"/>
    <w:rsid w:val="006C5077"/>
    <w:rsid w:val="006E0418"/>
    <w:rsid w:val="006E5089"/>
    <w:rsid w:val="006E7201"/>
    <w:rsid w:val="006F234C"/>
    <w:rsid w:val="006F53E9"/>
    <w:rsid w:val="00717059"/>
    <w:rsid w:val="007170F4"/>
    <w:rsid w:val="007227D4"/>
    <w:rsid w:val="00723D36"/>
    <w:rsid w:val="00746373"/>
    <w:rsid w:val="0075741C"/>
    <w:rsid w:val="00776F16"/>
    <w:rsid w:val="00795647"/>
    <w:rsid w:val="007A20AC"/>
    <w:rsid w:val="007B533E"/>
    <w:rsid w:val="007D296D"/>
    <w:rsid w:val="00814A25"/>
    <w:rsid w:val="00815A7F"/>
    <w:rsid w:val="00837126"/>
    <w:rsid w:val="008553F9"/>
    <w:rsid w:val="00855836"/>
    <w:rsid w:val="0087070D"/>
    <w:rsid w:val="00874D8A"/>
    <w:rsid w:val="008853C3"/>
    <w:rsid w:val="00887BB6"/>
    <w:rsid w:val="008A510A"/>
    <w:rsid w:val="008E29B6"/>
    <w:rsid w:val="008F2AA5"/>
    <w:rsid w:val="008F39EF"/>
    <w:rsid w:val="00905DE9"/>
    <w:rsid w:val="00920685"/>
    <w:rsid w:val="00941E6D"/>
    <w:rsid w:val="00954950"/>
    <w:rsid w:val="00955E96"/>
    <w:rsid w:val="009A0C04"/>
    <w:rsid w:val="009A2D0D"/>
    <w:rsid w:val="009A4C83"/>
    <w:rsid w:val="009B45DB"/>
    <w:rsid w:val="009B5959"/>
    <w:rsid w:val="009C09D0"/>
    <w:rsid w:val="009C4088"/>
    <w:rsid w:val="009D07F3"/>
    <w:rsid w:val="009F0548"/>
    <w:rsid w:val="009F1B66"/>
    <w:rsid w:val="009F1E48"/>
    <w:rsid w:val="00A2262D"/>
    <w:rsid w:val="00A33D5B"/>
    <w:rsid w:val="00A361F5"/>
    <w:rsid w:val="00A40584"/>
    <w:rsid w:val="00A41C08"/>
    <w:rsid w:val="00A45991"/>
    <w:rsid w:val="00A54E67"/>
    <w:rsid w:val="00A66699"/>
    <w:rsid w:val="00A8110E"/>
    <w:rsid w:val="00A9071C"/>
    <w:rsid w:val="00B22445"/>
    <w:rsid w:val="00B45436"/>
    <w:rsid w:val="00B64388"/>
    <w:rsid w:val="00B84396"/>
    <w:rsid w:val="00B86531"/>
    <w:rsid w:val="00BC1988"/>
    <w:rsid w:val="00BE5B9E"/>
    <w:rsid w:val="00BE70CC"/>
    <w:rsid w:val="00C20CA8"/>
    <w:rsid w:val="00C36459"/>
    <w:rsid w:val="00C44278"/>
    <w:rsid w:val="00C53DA8"/>
    <w:rsid w:val="00C57F5C"/>
    <w:rsid w:val="00C61984"/>
    <w:rsid w:val="00C7254E"/>
    <w:rsid w:val="00CB11DF"/>
    <w:rsid w:val="00CC7A34"/>
    <w:rsid w:val="00CD2CCF"/>
    <w:rsid w:val="00CE3537"/>
    <w:rsid w:val="00CE62CA"/>
    <w:rsid w:val="00D07AEF"/>
    <w:rsid w:val="00D114FF"/>
    <w:rsid w:val="00D2348F"/>
    <w:rsid w:val="00D24F66"/>
    <w:rsid w:val="00D50A08"/>
    <w:rsid w:val="00D538B4"/>
    <w:rsid w:val="00D53C73"/>
    <w:rsid w:val="00D73166"/>
    <w:rsid w:val="00D806C9"/>
    <w:rsid w:val="00D80AF0"/>
    <w:rsid w:val="00D831A0"/>
    <w:rsid w:val="00D93C27"/>
    <w:rsid w:val="00DB11F5"/>
    <w:rsid w:val="00DD2803"/>
    <w:rsid w:val="00E06DEA"/>
    <w:rsid w:val="00E1512F"/>
    <w:rsid w:val="00E31945"/>
    <w:rsid w:val="00E407EF"/>
    <w:rsid w:val="00E47542"/>
    <w:rsid w:val="00E53B62"/>
    <w:rsid w:val="00E71A48"/>
    <w:rsid w:val="00EB3ACF"/>
    <w:rsid w:val="00ED1357"/>
    <w:rsid w:val="00ED1AB0"/>
    <w:rsid w:val="00ED5D50"/>
    <w:rsid w:val="00F16632"/>
    <w:rsid w:val="00F264D6"/>
    <w:rsid w:val="00FA0990"/>
    <w:rsid w:val="00FB2F7D"/>
    <w:rsid w:val="00FB355F"/>
    <w:rsid w:val="00FF5D5C"/>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DE35B"/>
  <w15:docId w15:val="{2169679B-B05D-4CE0-ABDC-818FEDFB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E4C"/>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
    <w:qFormat/>
    <w:rsid w:val="002C7C5A"/>
    <w:pPr>
      <w:spacing w:before="100" w:beforeAutospacing="1" w:after="100" w:afterAutospacing="1"/>
      <w:outlineLvl w:val="3"/>
    </w:pPr>
    <w:rPr>
      <w:rFonts w:eastAsia="Times New Roman"/>
      <w:b/>
      <w:bCs/>
      <w:lang w:eastAsia="en-AU"/>
    </w:rPr>
  </w:style>
  <w:style w:type="paragraph" w:styleId="Heading5">
    <w:name w:val="heading 5"/>
    <w:basedOn w:val="Normal"/>
    <w:next w:val="Normal"/>
    <w:link w:val="Heading5Char"/>
    <w:uiPriority w:val="9"/>
    <w:unhideWhenUsed/>
    <w:qFormat/>
    <w:rsid w:val="0087070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C5A"/>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E06DEA"/>
    <w:rPr>
      <w:color w:val="0563C1" w:themeColor="hyperlink"/>
      <w:u w:val="single"/>
    </w:rPr>
  </w:style>
  <w:style w:type="paragraph" w:styleId="Header">
    <w:name w:val="header"/>
    <w:basedOn w:val="Normal"/>
    <w:link w:val="HeaderChar"/>
    <w:uiPriority w:val="99"/>
    <w:unhideWhenUsed/>
    <w:rsid w:val="002D649B"/>
    <w:pPr>
      <w:tabs>
        <w:tab w:val="center" w:pos="4513"/>
        <w:tab w:val="right" w:pos="9026"/>
      </w:tabs>
    </w:pPr>
  </w:style>
  <w:style w:type="character" w:customStyle="1" w:styleId="HeaderChar">
    <w:name w:val="Header Char"/>
    <w:basedOn w:val="DefaultParagraphFont"/>
    <w:link w:val="Header"/>
    <w:uiPriority w:val="99"/>
    <w:rsid w:val="002D649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D649B"/>
    <w:pPr>
      <w:tabs>
        <w:tab w:val="center" w:pos="4513"/>
        <w:tab w:val="right" w:pos="9026"/>
      </w:tabs>
    </w:pPr>
  </w:style>
  <w:style w:type="character" w:customStyle="1" w:styleId="FooterChar">
    <w:name w:val="Footer Char"/>
    <w:basedOn w:val="DefaultParagraphFont"/>
    <w:link w:val="Footer"/>
    <w:uiPriority w:val="99"/>
    <w:rsid w:val="002D649B"/>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0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eastAsiaTheme="minorEastAsia" w:hAnsi="Segoe UI" w:cs="Segoe UI"/>
      <w:sz w:val="18"/>
      <w:szCs w:val="18"/>
    </w:rPr>
  </w:style>
  <w:style w:type="paragraph" w:styleId="ListParagraph">
    <w:name w:val="List Paragraph"/>
    <w:basedOn w:val="Normal"/>
    <w:uiPriority w:val="34"/>
    <w:qFormat/>
    <w:rsid w:val="00670F03"/>
    <w:pPr>
      <w:ind w:left="720"/>
      <w:contextualSpacing/>
    </w:pPr>
  </w:style>
  <w:style w:type="paragraph" w:styleId="FootnoteText">
    <w:name w:val="footnote text"/>
    <w:basedOn w:val="Normal"/>
    <w:link w:val="FootnoteTextChar"/>
    <w:uiPriority w:val="99"/>
    <w:semiHidden/>
    <w:unhideWhenUsed/>
    <w:rsid w:val="00814A25"/>
    <w:rPr>
      <w:sz w:val="20"/>
      <w:szCs w:val="20"/>
    </w:rPr>
  </w:style>
  <w:style w:type="character" w:customStyle="1" w:styleId="FootnoteTextChar">
    <w:name w:val="Footnote Text Char"/>
    <w:basedOn w:val="DefaultParagraphFont"/>
    <w:link w:val="FootnoteText"/>
    <w:uiPriority w:val="99"/>
    <w:semiHidden/>
    <w:rsid w:val="00814A2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14A25"/>
    <w:rPr>
      <w:vertAlign w:val="superscript"/>
    </w:rPr>
  </w:style>
  <w:style w:type="paragraph" w:styleId="NormalWeb">
    <w:name w:val="Normal (Web)"/>
    <w:basedOn w:val="Normal"/>
    <w:uiPriority w:val="99"/>
    <w:unhideWhenUsed/>
    <w:rsid w:val="0075741C"/>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75741C"/>
    <w:rPr>
      <w:color w:val="954F72" w:themeColor="followedHyperlink"/>
      <w:u w:val="single"/>
    </w:rPr>
  </w:style>
  <w:style w:type="character" w:styleId="Emphasis">
    <w:name w:val="Emphasis"/>
    <w:basedOn w:val="DefaultParagraphFont"/>
    <w:uiPriority w:val="20"/>
    <w:qFormat/>
    <w:rsid w:val="0069050D"/>
    <w:rPr>
      <w:i/>
      <w:iCs/>
    </w:rPr>
  </w:style>
  <w:style w:type="character" w:customStyle="1" w:styleId="Heading5Char">
    <w:name w:val="Heading 5 Char"/>
    <w:basedOn w:val="DefaultParagraphFont"/>
    <w:link w:val="Heading5"/>
    <w:uiPriority w:val="9"/>
    <w:rsid w:val="0087070D"/>
    <w:rPr>
      <w:rFonts w:asciiTheme="majorHAnsi" w:eastAsiaTheme="majorEastAsia" w:hAnsiTheme="majorHAnsi" w:cstheme="majorBidi"/>
      <w:color w:val="2E74B5" w:themeColor="accent1" w:themeShade="BF"/>
      <w:sz w:val="24"/>
      <w:szCs w:val="24"/>
    </w:rPr>
  </w:style>
  <w:style w:type="paragraph" w:customStyle="1" w:styleId="css-h6rhrn">
    <w:name w:val="css-h6rhrn"/>
    <w:basedOn w:val="Normal"/>
    <w:rsid w:val="00887BB6"/>
    <w:pPr>
      <w:spacing w:before="100" w:beforeAutospacing="1" w:after="100" w:afterAutospacing="1"/>
    </w:pPr>
    <w:rPr>
      <w:rFonts w:eastAsiaTheme="minorHAnsi"/>
      <w:lang w:val="en-GB" w:eastAsia="en-GB"/>
    </w:rPr>
  </w:style>
  <w:style w:type="character" w:styleId="CommentReference">
    <w:name w:val="annotation reference"/>
    <w:basedOn w:val="DefaultParagraphFont"/>
    <w:uiPriority w:val="99"/>
    <w:semiHidden/>
    <w:unhideWhenUsed/>
    <w:rsid w:val="005177E2"/>
    <w:rPr>
      <w:sz w:val="16"/>
      <w:szCs w:val="16"/>
    </w:rPr>
  </w:style>
  <w:style w:type="paragraph" w:styleId="CommentText">
    <w:name w:val="annotation text"/>
    <w:basedOn w:val="Normal"/>
    <w:link w:val="CommentTextChar"/>
    <w:uiPriority w:val="99"/>
    <w:semiHidden/>
    <w:unhideWhenUsed/>
    <w:rsid w:val="005177E2"/>
    <w:rPr>
      <w:sz w:val="20"/>
      <w:szCs w:val="20"/>
    </w:rPr>
  </w:style>
  <w:style w:type="character" w:customStyle="1" w:styleId="CommentTextChar">
    <w:name w:val="Comment Text Char"/>
    <w:basedOn w:val="DefaultParagraphFont"/>
    <w:link w:val="CommentText"/>
    <w:uiPriority w:val="99"/>
    <w:semiHidden/>
    <w:rsid w:val="005177E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7E2"/>
    <w:rPr>
      <w:b/>
      <w:bCs/>
    </w:rPr>
  </w:style>
  <w:style w:type="character" w:customStyle="1" w:styleId="CommentSubjectChar">
    <w:name w:val="Comment Subject Char"/>
    <w:basedOn w:val="CommentTextChar"/>
    <w:link w:val="CommentSubject"/>
    <w:uiPriority w:val="99"/>
    <w:semiHidden/>
    <w:rsid w:val="005177E2"/>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68143">
      <w:bodyDiv w:val="1"/>
      <w:marLeft w:val="0"/>
      <w:marRight w:val="0"/>
      <w:marTop w:val="0"/>
      <w:marBottom w:val="0"/>
      <w:divBdr>
        <w:top w:val="none" w:sz="0" w:space="0" w:color="auto"/>
        <w:left w:val="none" w:sz="0" w:space="0" w:color="auto"/>
        <w:bottom w:val="none" w:sz="0" w:space="0" w:color="auto"/>
        <w:right w:val="none" w:sz="0" w:space="0" w:color="auto"/>
      </w:divBdr>
    </w:div>
    <w:div w:id="433283360">
      <w:bodyDiv w:val="1"/>
      <w:marLeft w:val="0"/>
      <w:marRight w:val="0"/>
      <w:marTop w:val="0"/>
      <w:marBottom w:val="0"/>
      <w:divBdr>
        <w:top w:val="none" w:sz="0" w:space="0" w:color="auto"/>
        <w:left w:val="none" w:sz="0" w:space="0" w:color="auto"/>
        <w:bottom w:val="none" w:sz="0" w:space="0" w:color="auto"/>
        <w:right w:val="none" w:sz="0" w:space="0" w:color="auto"/>
      </w:divBdr>
    </w:div>
    <w:div w:id="536237363">
      <w:bodyDiv w:val="1"/>
      <w:marLeft w:val="0"/>
      <w:marRight w:val="0"/>
      <w:marTop w:val="0"/>
      <w:marBottom w:val="0"/>
      <w:divBdr>
        <w:top w:val="none" w:sz="0" w:space="0" w:color="auto"/>
        <w:left w:val="none" w:sz="0" w:space="0" w:color="auto"/>
        <w:bottom w:val="none" w:sz="0" w:space="0" w:color="auto"/>
        <w:right w:val="none" w:sz="0" w:space="0" w:color="auto"/>
      </w:divBdr>
    </w:div>
    <w:div w:id="598369819">
      <w:bodyDiv w:val="1"/>
      <w:marLeft w:val="0"/>
      <w:marRight w:val="0"/>
      <w:marTop w:val="0"/>
      <w:marBottom w:val="0"/>
      <w:divBdr>
        <w:top w:val="none" w:sz="0" w:space="0" w:color="auto"/>
        <w:left w:val="none" w:sz="0" w:space="0" w:color="auto"/>
        <w:bottom w:val="none" w:sz="0" w:space="0" w:color="auto"/>
        <w:right w:val="none" w:sz="0" w:space="0" w:color="auto"/>
      </w:divBdr>
    </w:div>
    <w:div w:id="843403078">
      <w:bodyDiv w:val="1"/>
      <w:marLeft w:val="0"/>
      <w:marRight w:val="0"/>
      <w:marTop w:val="0"/>
      <w:marBottom w:val="0"/>
      <w:divBdr>
        <w:top w:val="none" w:sz="0" w:space="0" w:color="auto"/>
        <w:left w:val="none" w:sz="0" w:space="0" w:color="auto"/>
        <w:bottom w:val="none" w:sz="0" w:space="0" w:color="auto"/>
        <w:right w:val="none" w:sz="0" w:space="0" w:color="auto"/>
      </w:divBdr>
    </w:div>
    <w:div w:id="908924485">
      <w:bodyDiv w:val="1"/>
      <w:marLeft w:val="0"/>
      <w:marRight w:val="0"/>
      <w:marTop w:val="0"/>
      <w:marBottom w:val="0"/>
      <w:divBdr>
        <w:top w:val="none" w:sz="0" w:space="0" w:color="auto"/>
        <w:left w:val="none" w:sz="0" w:space="0" w:color="auto"/>
        <w:bottom w:val="none" w:sz="0" w:space="0" w:color="auto"/>
        <w:right w:val="none" w:sz="0" w:space="0" w:color="auto"/>
      </w:divBdr>
    </w:div>
    <w:div w:id="918751516">
      <w:bodyDiv w:val="1"/>
      <w:marLeft w:val="0"/>
      <w:marRight w:val="0"/>
      <w:marTop w:val="0"/>
      <w:marBottom w:val="0"/>
      <w:divBdr>
        <w:top w:val="none" w:sz="0" w:space="0" w:color="auto"/>
        <w:left w:val="none" w:sz="0" w:space="0" w:color="auto"/>
        <w:bottom w:val="none" w:sz="0" w:space="0" w:color="auto"/>
        <w:right w:val="none" w:sz="0" w:space="0" w:color="auto"/>
      </w:divBdr>
    </w:div>
    <w:div w:id="1048258837">
      <w:bodyDiv w:val="1"/>
      <w:marLeft w:val="0"/>
      <w:marRight w:val="0"/>
      <w:marTop w:val="0"/>
      <w:marBottom w:val="0"/>
      <w:divBdr>
        <w:top w:val="none" w:sz="0" w:space="0" w:color="auto"/>
        <w:left w:val="none" w:sz="0" w:space="0" w:color="auto"/>
        <w:bottom w:val="none" w:sz="0" w:space="0" w:color="auto"/>
        <w:right w:val="none" w:sz="0" w:space="0" w:color="auto"/>
      </w:divBdr>
    </w:div>
    <w:div w:id="1115756471">
      <w:bodyDiv w:val="1"/>
      <w:marLeft w:val="0"/>
      <w:marRight w:val="0"/>
      <w:marTop w:val="0"/>
      <w:marBottom w:val="0"/>
      <w:divBdr>
        <w:top w:val="none" w:sz="0" w:space="0" w:color="auto"/>
        <w:left w:val="none" w:sz="0" w:space="0" w:color="auto"/>
        <w:bottom w:val="none" w:sz="0" w:space="0" w:color="auto"/>
        <w:right w:val="none" w:sz="0" w:space="0" w:color="auto"/>
      </w:divBdr>
    </w:div>
    <w:div w:id="1120610036">
      <w:bodyDiv w:val="1"/>
      <w:marLeft w:val="0"/>
      <w:marRight w:val="0"/>
      <w:marTop w:val="0"/>
      <w:marBottom w:val="0"/>
      <w:divBdr>
        <w:top w:val="none" w:sz="0" w:space="0" w:color="auto"/>
        <w:left w:val="none" w:sz="0" w:space="0" w:color="auto"/>
        <w:bottom w:val="none" w:sz="0" w:space="0" w:color="auto"/>
        <w:right w:val="none" w:sz="0" w:space="0" w:color="auto"/>
      </w:divBdr>
    </w:div>
    <w:div w:id="1129476095">
      <w:bodyDiv w:val="1"/>
      <w:marLeft w:val="0"/>
      <w:marRight w:val="0"/>
      <w:marTop w:val="0"/>
      <w:marBottom w:val="0"/>
      <w:divBdr>
        <w:top w:val="none" w:sz="0" w:space="0" w:color="auto"/>
        <w:left w:val="none" w:sz="0" w:space="0" w:color="auto"/>
        <w:bottom w:val="none" w:sz="0" w:space="0" w:color="auto"/>
        <w:right w:val="none" w:sz="0" w:space="0" w:color="auto"/>
      </w:divBdr>
    </w:div>
    <w:div w:id="1203132494">
      <w:bodyDiv w:val="1"/>
      <w:marLeft w:val="0"/>
      <w:marRight w:val="0"/>
      <w:marTop w:val="0"/>
      <w:marBottom w:val="0"/>
      <w:divBdr>
        <w:top w:val="none" w:sz="0" w:space="0" w:color="auto"/>
        <w:left w:val="none" w:sz="0" w:space="0" w:color="auto"/>
        <w:bottom w:val="none" w:sz="0" w:space="0" w:color="auto"/>
        <w:right w:val="none" w:sz="0" w:space="0" w:color="auto"/>
      </w:divBdr>
    </w:div>
    <w:div w:id="1231574019">
      <w:bodyDiv w:val="1"/>
      <w:marLeft w:val="0"/>
      <w:marRight w:val="0"/>
      <w:marTop w:val="0"/>
      <w:marBottom w:val="0"/>
      <w:divBdr>
        <w:top w:val="none" w:sz="0" w:space="0" w:color="auto"/>
        <w:left w:val="none" w:sz="0" w:space="0" w:color="auto"/>
        <w:bottom w:val="none" w:sz="0" w:space="0" w:color="auto"/>
        <w:right w:val="none" w:sz="0" w:space="0" w:color="auto"/>
      </w:divBdr>
    </w:div>
    <w:div w:id="1426924277">
      <w:bodyDiv w:val="1"/>
      <w:marLeft w:val="0"/>
      <w:marRight w:val="0"/>
      <w:marTop w:val="0"/>
      <w:marBottom w:val="0"/>
      <w:divBdr>
        <w:top w:val="none" w:sz="0" w:space="0" w:color="auto"/>
        <w:left w:val="none" w:sz="0" w:space="0" w:color="auto"/>
        <w:bottom w:val="none" w:sz="0" w:space="0" w:color="auto"/>
        <w:right w:val="none" w:sz="0" w:space="0" w:color="auto"/>
      </w:divBdr>
    </w:div>
    <w:div w:id="1456290077">
      <w:bodyDiv w:val="1"/>
      <w:marLeft w:val="0"/>
      <w:marRight w:val="0"/>
      <w:marTop w:val="0"/>
      <w:marBottom w:val="0"/>
      <w:divBdr>
        <w:top w:val="none" w:sz="0" w:space="0" w:color="auto"/>
        <w:left w:val="none" w:sz="0" w:space="0" w:color="auto"/>
        <w:bottom w:val="none" w:sz="0" w:space="0" w:color="auto"/>
        <w:right w:val="none" w:sz="0" w:space="0" w:color="auto"/>
      </w:divBdr>
    </w:div>
    <w:div w:id="1560940629">
      <w:bodyDiv w:val="1"/>
      <w:marLeft w:val="0"/>
      <w:marRight w:val="0"/>
      <w:marTop w:val="0"/>
      <w:marBottom w:val="0"/>
      <w:divBdr>
        <w:top w:val="none" w:sz="0" w:space="0" w:color="auto"/>
        <w:left w:val="none" w:sz="0" w:space="0" w:color="auto"/>
        <w:bottom w:val="none" w:sz="0" w:space="0" w:color="auto"/>
        <w:right w:val="none" w:sz="0" w:space="0" w:color="auto"/>
      </w:divBdr>
    </w:div>
    <w:div w:id="1591504266">
      <w:bodyDiv w:val="1"/>
      <w:marLeft w:val="0"/>
      <w:marRight w:val="0"/>
      <w:marTop w:val="0"/>
      <w:marBottom w:val="0"/>
      <w:divBdr>
        <w:top w:val="none" w:sz="0" w:space="0" w:color="auto"/>
        <w:left w:val="none" w:sz="0" w:space="0" w:color="auto"/>
        <w:bottom w:val="none" w:sz="0" w:space="0" w:color="auto"/>
        <w:right w:val="none" w:sz="0" w:space="0" w:color="auto"/>
      </w:divBdr>
    </w:div>
    <w:div w:id="1633171035">
      <w:bodyDiv w:val="1"/>
      <w:marLeft w:val="0"/>
      <w:marRight w:val="0"/>
      <w:marTop w:val="0"/>
      <w:marBottom w:val="0"/>
      <w:divBdr>
        <w:top w:val="none" w:sz="0" w:space="0" w:color="auto"/>
        <w:left w:val="none" w:sz="0" w:space="0" w:color="auto"/>
        <w:bottom w:val="none" w:sz="0" w:space="0" w:color="auto"/>
        <w:right w:val="none" w:sz="0" w:space="0" w:color="auto"/>
      </w:divBdr>
    </w:div>
    <w:div w:id="1669820343">
      <w:bodyDiv w:val="1"/>
      <w:marLeft w:val="0"/>
      <w:marRight w:val="0"/>
      <w:marTop w:val="0"/>
      <w:marBottom w:val="0"/>
      <w:divBdr>
        <w:top w:val="none" w:sz="0" w:space="0" w:color="auto"/>
        <w:left w:val="none" w:sz="0" w:space="0" w:color="auto"/>
        <w:bottom w:val="none" w:sz="0" w:space="0" w:color="auto"/>
        <w:right w:val="none" w:sz="0" w:space="0" w:color="auto"/>
      </w:divBdr>
    </w:div>
    <w:div w:id="1690984368">
      <w:bodyDiv w:val="1"/>
      <w:marLeft w:val="0"/>
      <w:marRight w:val="0"/>
      <w:marTop w:val="0"/>
      <w:marBottom w:val="0"/>
      <w:divBdr>
        <w:top w:val="none" w:sz="0" w:space="0" w:color="auto"/>
        <w:left w:val="none" w:sz="0" w:space="0" w:color="auto"/>
        <w:bottom w:val="none" w:sz="0" w:space="0" w:color="auto"/>
        <w:right w:val="none" w:sz="0" w:space="0" w:color="auto"/>
      </w:divBdr>
    </w:div>
    <w:div w:id="17131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uts.edu.au/sites/default/files/article/downloads/ISF_100%25_Australian_Renewable_Energy_Report.pdf" TargetMode="External"/><Relationship Id="rId21" Type="http://schemas.openxmlformats.org/officeDocument/2006/relationships/hyperlink" Target="http://ceem.unsw.edu.au/sites/default/files/documents/100pc%20RE%20-%20Research%20Summary-2016-03-02a.pdf" TargetMode="External"/><Relationship Id="rId22" Type="http://schemas.openxmlformats.org/officeDocument/2006/relationships/hyperlink" Target="https://www.energynetworks.com.au/sites/default/files/entr_final_report_web.pdf" TargetMode="External"/><Relationship Id="rId23" Type="http://schemas.openxmlformats.org/officeDocument/2006/relationships/hyperlink" Target="https://www.aemo.com.au/Electricity/National-Electricity-Market-NEM/Planning-and-forecasting/Integrated-System-Plan" TargetMode="External"/><Relationship Id="rId24" Type="http://schemas.openxmlformats.org/officeDocument/2006/relationships/hyperlink" Target="https://reneweconomy.com.au/australia-could-aim-for-700-per-cent-renewables-arena-boss-11594/" TargetMode="External"/><Relationship Id="rId25" Type="http://schemas.openxmlformats.org/officeDocument/2006/relationships/hyperlink" Target="https://www.wwf.org.au/what-we-do/climate/renewables" TargetMode="External"/><Relationship Id="rId26" Type="http://schemas.openxmlformats.org/officeDocument/2006/relationships/hyperlink" Target="https://www.cleanenergycouncil.org.au/advocacy-initiatives/a-clean-recovery" TargetMode="External"/><Relationship Id="rId27" Type="http://schemas.openxmlformats.org/officeDocument/2006/relationships/hyperlink" Target="https://bze.org.au/the-million-jobs-plan/"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37"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jpg"/><Relationship Id="rId19" Type="http://schemas.openxmlformats.org/officeDocument/2006/relationships/hyperlink" Target="https://www.unenvironment.org/resources/report/production-gap-report-2019" TargetMode="External"/><Relationship Id="rId3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ct:contentTypeSchema xmlns:ct="http://schemas.microsoft.com/office/2006/metadata/contentType" xmlns:ma="http://schemas.microsoft.com/office/2006/metadata/properties/metaAttributes" ct:_="" ma:_="" ma:contentTypeName="Document" ma:contentTypeID="0x01010011FDA6FF924C1542A6F8D4481F6E147A" ma:contentTypeVersion="12" ma:contentTypeDescription="Create a new document." ma:contentTypeScope="" ma:versionID="d593249b8c7038a73a159b76c65f76a7">
  <xsd:schema xmlns:xsd="http://www.w3.org/2001/XMLSchema" xmlns:xs="http://www.w3.org/2001/XMLSchema" xmlns:p="http://schemas.microsoft.com/office/2006/metadata/properties" xmlns:ns2="c518d8d0-13c5-4c20-b0e8-15921b077528" xmlns:ns3="698267e6-52b3-4772-ab33-f27336dc88e7" targetNamespace="http://schemas.microsoft.com/office/2006/metadata/properties" ma:root="true" ma:fieldsID="cfdd0dde3bd4a93d77a6a064ff18a2e8" ns2:_="" ns3:_="">
    <xsd:import namespace="c518d8d0-13c5-4c20-b0e8-15921b077528"/>
    <xsd:import namespace="698267e6-52b3-4772-ab33-f27336dc8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8d8d0-13c5-4c20-b0e8-15921b077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267e6-52b3-4772-ab33-f27336dc88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A3CC-1CE5-4B9D-AB5D-F8D62FB6CC98}">
  <ds:schemaRefs>
    <ds:schemaRef ds:uri="http://www.w3.org/2001/XMLSchema"/>
  </ds:schemaRefs>
</ds:datastoreItem>
</file>

<file path=customXml/itemProps2.xml><?xml version="1.0" encoding="utf-8"?>
<ds:datastoreItem xmlns:ds="http://schemas.openxmlformats.org/officeDocument/2006/customXml" ds:itemID="{4AB4F629-3424-4AE8-82EC-935615C8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8d8d0-13c5-4c20-b0e8-15921b077528"/>
    <ds:schemaRef ds:uri="698267e6-52b3-4772-ab33-f27336dc8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9547-AC9C-4E6F-9055-A8B8F637A919}">
  <ds:schemaRefs>
    <ds:schemaRef ds:uri="http://schemas.microsoft.com/sharepoint/v3/contenttype/forms"/>
  </ds:schemaRefs>
</ds:datastoreItem>
</file>

<file path=customXml/itemProps4.xml><?xml version="1.0" encoding="utf-8"?>
<ds:datastoreItem xmlns:ds="http://schemas.openxmlformats.org/officeDocument/2006/customXml" ds:itemID="{53225505-0605-46C7-88C9-773EB31AF17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FB2474-7E75-1841-B39D-FBBE1F51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2222</Words>
  <Characters>12667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McKenry</dc:creator>
  <cp:lastModifiedBy>Microsoft Office User</cp:lastModifiedBy>
  <cp:revision>2</cp:revision>
  <cp:lastPrinted>2020-07-12T23:37:00Z</cp:lastPrinted>
  <dcterms:created xsi:type="dcterms:W3CDTF">2020-07-13T01:46:00Z</dcterms:created>
  <dcterms:modified xsi:type="dcterms:W3CDTF">2020-07-13T01:46:00Z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0x01010011FDA6FF924C1542A6F8D4481F6E147A</vt:lpwstr>
  </property>
</Properties>
</file>